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Default ContentType="image/jpeg" Extension="jpeg"/>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package.relationships+xml" PartName="/word/_rels/document.xml.rels"/>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document.main+xml" PartName="/word/document.xml"/>
  <Override ContentType="application/vnd.openxmlformats-officedocument.wordprocessingml.footer+xml" PartName="/word/footer2.xml"/>
  <Override ContentType="image/png" PartName="/word/media/image14.png"/>
  <Override ContentType="image/png" PartName="/word/media/image13.png"/>
  <Override ContentType="image/png" PartName="/word/media/image12.png"/>
  <Override ContentType="image/png" PartName="/word/media/image11.png"/>
  <Override ContentType="image/x-wmf" PartName="/word/media/image10.wmf"/>
  <Override ContentType="image/png" PartName="/word/media/image9.png"/>
  <Override ContentType="image/png" PartName="/word/media/image7.png"/>
  <Override ContentType="image/png" PartName="/word/media/image8.png"/>
  <Override ContentType="image/jpeg" PartName="/word/media/image1.jpeg"/>
  <Override ContentType="image/png" PartName="/word/media/image2.png"/>
  <Override ContentType="image/x-wmf" PartName="/word/media/image4.wmf"/>
  <Override ContentType="image/png" PartName="/word/media/image6.png"/>
  <Override ContentType="image/x-wmf" PartName="/word/media/image3.wmf"/>
  <Override ContentType="image/x-wmf" PartName="/word/media/image5.wmf"/>
  <Override ContentType="application/vnd.openxmlformats-officedocument.wordprocessingml.footer+xml" PartName="/word/footer1.xml"/>
  <Override ContentType="application/vnd.openxmlformats-officedocument.wordprocessingml.styles+xml" PartName="/word/styles.xml"/>
  <Override ContentType="application/vnd.openxmlformats-officedocument.wordprocessingml.numbering+xml" PartName="/word/numbering.xml"/>
  <Override ContentType="application/vnd.openxmlformats-officedocument.custom-properties+xml" PartName="/docProps/custom.xml"/>
</Types>
</file>

<file path=_rels/.rels><?xml version="1.0" encoding="UTF-8" standalone="no" ?><Relationships xmlns="http://schemas.openxmlformats.org/package/2006/relationships"><Relationship Id="rId1" Target="docProps/core.xml" Type="http://schemas.openxmlformats.org/package/2006/relationships/metadata/core-properties"/><Relationship Id="rId2" Target="docProps/app.xml" Type="http://schemas.openxmlformats.org/officeDocument/2006/relationships/extended-properties"/><Relationship Id="rId3" Target="word/document.xml" Type="http://schemas.openxmlformats.org/officeDocument/2006/relationships/officeDocument"/>
<Relationship Id="rId4" Target="docProps/custom.xml" Type="http://schemas.openxmlformats.org/officeDocument/2006/relationships/custom-properties"/></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lang w:val="en-US" w:eastAsia="en-US"/>
        </w:rPr>
      </w:pPr>
      <w:r>
        <w:rPr>
          <w:lang w:val="en-US" w:eastAsia="en-US"/>
        </w:rPr>
        <w:drawing>
          <wp:anchor behindDoc="0" distT="0" distB="0" distL="0" distR="0" simplePos="0" locked="0" layoutInCell="1" allowOverlap="1" relativeHeight="16">
            <wp:simplePos x="0" y="0"/>
            <wp:positionH relativeFrom="column">
              <wp:align>center</wp:align>
            </wp:positionH>
            <wp:positionV relativeFrom="paragraph">
              <wp:posOffset>635</wp:posOffset>
            </wp:positionV>
            <wp:extent cx="6056630" cy="951230"/>
            <wp:effectExtent l="0" t="0" r="0" b="0"/>
            <wp:wrapTopAndBottom/>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rcRect l="-5" t="-34" r="-5" b="-34"/>
                    <a:stretch>
                      <a:fillRect/>
                    </a:stretch>
                  </pic:blipFill>
                  <pic:spPr bwMode="auto">
                    <a:xfrm>
                      <a:off x="0" y="0"/>
                      <a:ext cx="6056630" cy="951230"/>
                    </a:xfrm>
                    <a:prstGeom prst="rect">
                      <a:avLst/>
                    </a:prstGeom>
                  </pic:spPr>
                </pic:pic>
              </a:graphicData>
            </a:graphic>
          </wp:anchor>
        </w:drawing>
      </w:r>
    </w:p>
    <w:p>
      <w:pPr>
        <w:pStyle w:val="Normal"/>
        <w:jc w:val="center"/>
        <w:rPr>
          <w:b/>
          <w:b/>
          <w:sz w:val="28"/>
          <w:szCs w:val="28"/>
        </w:rPr>
      </w:pPr>
      <w:r>
        <w:rPr>
          <w:b/>
          <w:sz w:val="28"/>
          <w:szCs w:val="28"/>
        </w:rPr>
      </w:r>
    </w:p>
    <w:p>
      <w:pPr>
        <w:pStyle w:val="NoSpacing"/>
        <w:numPr>
          <w:ilvl w:val="0"/>
          <w:numId w:val="0"/>
        </w:numPr>
        <w:jc w:val="center"/>
        <w:outlineLvl w:val="0"/>
        <w:rPr>
          <w:rFonts w:ascii="Times New Roman" w:hAnsi="Times New Roman" w:cs="Times New Roman"/>
          <w:b/>
          <w:b/>
          <w:sz w:val="28"/>
          <w:szCs w:val="28"/>
        </w:rPr>
      </w:pPr>
      <w:bookmarkStart w:id="0" w:name="__DdeLink__14_3563214540"/>
      <w:r>
        <w:rPr>
          <w:rFonts w:cs="Times New Roman" w:ascii="Times New Roman" w:hAnsi="Times New Roman"/>
          <w:b/>
          <w:sz w:val="28"/>
          <w:szCs w:val="28"/>
        </w:rPr>
        <w:t>ФАКУЛТЕТ „ИКОНОМИКА НА ИНФРАСТРУКТУРАТА”</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numPr>
          <w:ilvl w:val="0"/>
          <w:numId w:val="0"/>
        </w:numPr>
        <w:jc w:val="center"/>
        <w:outlineLvl w:val="0"/>
        <w:rPr/>
      </w:pPr>
      <w:r>
        <w:rPr>
          <w:b/>
          <w:sz w:val="28"/>
          <w:szCs w:val="28"/>
        </w:rPr>
        <w:t>КАТЕДРА „СТОПАНСКА ЛОГИСТИКА”</w:t>
      </w:r>
    </w:p>
    <w:p>
      <w:pPr>
        <w:pStyle w:val="NoSpacing"/>
        <w:jc w:val="center"/>
        <w:rPr>
          <w:rFonts w:ascii="Times New Roman" w:hAnsi="Times New Roman" w:cs="Times New Roman"/>
          <w:b/>
          <w:b/>
          <w:sz w:val="24"/>
          <w:szCs w:val="24"/>
        </w:rPr>
      </w:pPr>
      <w:r>
        <w:rPr>
          <w:rFonts w:cs="Times New Roman" w:ascii="Times New Roman" w:hAnsi="Times New Roman"/>
          <w:b/>
          <w:sz w:val="24"/>
          <w:szCs w:val="24"/>
        </w:rPr>
        <w:t>СПЕЦИАЛНОСТ „СТОПАНСКА ЛОГИСТИКА”</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r>
    </w:p>
    <w:p>
      <w:pPr>
        <w:pStyle w:val="NoSpacing"/>
        <w:numPr>
          <w:ilvl w:val="0"/>
          <w:numId w:val="0"/>
        </w:numPr>
        <w:jc w:val="center"/>
        <w:outlineLvl w:val="0"/>
        <w:rPr>
          <w:rFonts w:ascii="Times New Roman" w:hAnsi="Times New Roman" w:cs="Times New Roman"/>
          <w:b/>
          <w:b/>
          <w:sz w:val="28"/>
          <w:szCs w:val="28"/>
          <w:u w:val="single"/>
        </w:rPr>
      </w:pPr>
      <w:r>
        <w:rPr>
          <w:rFonts w:cs="Times New Roman" w:ascii="Times New Roman" w:hAnsi="Times New Roman"/>
          <w:b/>
          <w:sz w:val="28"/>
          <w:szCs w:val="28"/>
          <w:u w:val="single"/>
        </w:rPr>
        <w:t>Курсова работа</w:t>
      </w:r>
    </w:p>
    <w:p>
      <w:pPr>
        <w:pStyle w:val="NoSpacing"/>
        <w:jc w:val="center"/>
        <w:rPr>
          <w:rFonts w:ascii="Times New Roman" w:hAnsi="Times New Roman" w:cs="Times New Roman"/>
          <w:b/>
          <w:b/>
          <w:sz w:val="28"/>
          <w:szCs w:val="28"/>
          <w:u w:val="single"/>
        </w:rPr>
      </w:pPr>
      <w:r>
        <w:rPr>
          <w:rFonts w:cs="Times New Roman" w:ascii="Times New Roman" w:hAnsi="Times New Roman"/>
          <w:b/>
          <w:sz w:val="28"/>
          <w:szCs w:val="28"/>
          <w:u w:val="single"/>
        </w:rPr>
      </w:r>
    </w:p>
    <w:p>
      <w:pPr>
        <w:pStyle w:val="NoSpacing"/>
        <w:numPr>
          <w:ilvl w:val="0"/>
          <w:numId w:val="0"/>
        </w:numPr>
        <w:jc w:val="center"/>
        <w:outlineLvl w:val="0"/>
        <w:rPr>
          <w:rFonts w:ascii="Times New Roman" w:hAnsi="Times New Roman" w:cs="Times New Roman"/>
          <w:b/>
          <w:b/>
          <w:sz w:val="28"/>
          <w:szCs w:val="28"/>
        </w:rPr>
      </w:pPr>
      <w:r>
        <w:rPr>
          <w:rFonts w:cs="Times New Roman" w:ascii="Times New Roman" w:hAnsi="Times New Roman"/>
          <w:b/>
          <w:sz w:val="28"/>
          <w:szCs w:val="28"/>
        </w:rPr>
        <w:t>ПО УЧЕБНАТА ДИСЦИПЛИНА</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r>
    </w:p>
    <w:p>
      <w:pPr>
        <w:pStyle w:val="NoSpacing"/>
        <w:numPr>
          <w:ilvl w:val="0"/>
          <w:numId w:val="0"/>
        </w:numPr>
        <w:jc w:val="center"/>
        <w:outlineLvl w:val="0"/>
        <w:rPr>
          <w:rFonts w:ascii="Times New Roman" w:hAnsi="Times New Roman" w:cs="Times New Roman"/>
          <w:sz w:val="28"/>
          <w:szCs w:val="28"/>
          <w:u w:val="single"/>
        </w:rPr>
      </w:pPr>
      <w:r>
        <w:rPr>
          <w:rFonts w:cs="Times New Roman" w:ascii="Times New Roman" w:hAnsi="Times New Roman"/>
          <w:sz w:val="28"/>
          <w:szCs w:val="28"/>
          <w:u w:val="single"/>
        </w:rPr>
        <w:t>Управление на проекти</w:t>
      </w:r>
    </w:p>
    <w:p>
      <w:pPr>
        <w:pStyle w:val="NoSpacing"/>
        <w:jc w:val="center"/>
        <w:rPr>
          <w:rFonts w:ascii="Times New Roman" w:hAnsi="Times New Roman" w:cs="Times New Roman"/>
          <w:b/>
          <w:b/>
          <w:sz w:val="28"/>
          <w:szCs w:val="28"/>
          <w:u w:val="single"/>
        </w:rPr>
      </w:pPr>
      <w:r>
        <w:rPr>
          <w:rFonts w:cs="Times New Roman" w:ascii="Times New Roman" w:hAnsi="Times New Roman"/>
          <w:b/>
          <w:sz w:val="28"/>
          <w:szCs w:val="28"/>
          <w:u w:val="single"/>
        </w:rPr>
      </w:r>
    </w:p>
    <w:p>
      <w:pPr>
        <w:pStyle w:val="NoSpacing"/>
        <w:numPr>
          <w:ilvl w:val="0"/>
          <w:numId w:val="0"/>
        </w:numPr>
        <w:jc w:val="center"/>
        <w:outlineLvl w:val="0"/>
        <w:rPr>
          <w:rFonts w:ascii="Times New Roman" w:hAnsi="Times New Roman" w:cs="Times New Roman"/>
          <w:b/>
          <w:b/>
          <w:sz w:val="28"/>
          <w:szCs w:val="28"/>
        </w:rPr>
      </w:pPr>
      <w:r>
        <w:rPr>
          <w:rFonts w:cs="Times New Roman" w:ascii="Times New Roman" w:hAnsi="Times New Roman"/>
          <w:b/>
          <w:sz w:val="28"/>
          <w:szCs w:val="28"/>
        </w:rPr>
        <w:t>НА ТЕМА:</w:t>
      </w:r>
    </w:p>
    <w:p>
      <w:pPr>
        <w:pStyle w:val="NoSpacing"/>
        <w:numPr>
          <w:ilvl w:val="0"/>
          <w:numId w:val="0"/>
        </w:numPr>
        <w:jc w:val="center"/>
        <w:outlineLvl w:val="0"/>
        <w:rPr>
          <w:rFonts w:ascii="Times New Roman" w:hAnsi="Times New Roman" w:cs="Times New Roman"/>
          <w:sz w:val="28"/>
          <w:szCs w:val="28"/>
          <w:u w:val="single"/>
        </w:rPr>
      </w:pPr>
      <w:r>
        <w:rPr>
          <w:rFonts w:cs="Times New Roman" w:ascii="Times New Roman" w:hAnsi="Times New Roman"/>
          <w:i/>
          <w:sz w:val="28"/>
          <w:szCs w:val="28"/>
          <w:u w:val="single"/>
        </w:rPr>
        <w:t>Проект „Интегриран градски транспорт за Бургас”</w:t>
      </w:r>
    </w:p>
    <w:p>
      <w:pPr>
        <w:pStyle w:val="NoSpacing"/>
        <w:rPr>
          <w:rFonts w:ascii="Times New Roman" w:hAnsi="Times New Roman" w:cs="Times New Roman"/>
          <w:sz w:val="28"/>
          <w:szCs w:val="28"/>
          <w:u w:val="single"/>
        </w:rPr>
      </w:pPr>
      <w:r>
        <w:rPr>
          <w:rFonts w:cs="Times New Roman" w:ascii="Times New Roman" w:hAnsi="Times New Roman"/>
          <w:sz w:val="28"/>
          <w:szCs w:val="28"/>
          <w:u w:val="single"/>
        </w:rPr>
      </w:r>
    </w:p>
    <w:p>
      <w:pPr>
        <w:pStyle w:val="NoSpacing"/>
        <w:rPr>
          <w:rFonts w:ascii="Times New Roman" w:hAnsi="Times New Roman" w:cs="Times New Roman"/>
          <w:sz w:val="28"/>
          <w:szCs w:val="28"/>
          <w:u w:val="single"/>
        </w:rPr>
      </w:pPr>
      <w:r>
        <w:rPr>
          <w:rFonts w:cs="Times New Roman" w:ascii="Times New Roman" w:hAnsi="Times New Roman"/>
          <w:sz w:val="28"/>
          <w:szCs w:val="28"/>
          <w:u w:val="single"/>
        </w:rPr>
      </w:r>
    </w:p>
    <w:p>
      <w:pPr>
        <w:sectPr>
          <w:footerReference w:type="default" r:id="rId3"/>
          <w:footerReference w:type="first" r:id="rId4"/>
          <w:type w:val="nextPage"/>
          <w:pgSz w:w="11906" w:h="16838"/>
          <w:pgMar w:left="1417" w:right="1417" w:header="0" w:top="1417" w:footer="708" w:bottom="1417" w:gutter="0"/>
          <w:pgNumType w:start="0" w:fmt="decimal"/>
          <w:formProt w:val="false"/>
          <w:titlePg/>
          <w:textDirection w:val="lrTb"/>
          <w:docGrid w:type="default" w:linePitch="360" w:charSpace="0"/>
        </w:sectPr>
      </w:pPr>
    </w:p>
    <w:p>
      <w:pPr>
        <w:pStyle w:val="NoSpacing"/>
        <w:numPr>
          <w:ilvl w:val="0"/>
          <w:numId w:val="0"/>
        </w:numPr>
        <w:outlineLvl w:val="0"/>
        <w:rPr>
          <w:rFonts w:ascii="Times New Roman" w:hAnsi="Times New Roman" w:cs="Times New Roman"/>
          <w:b/>
          <w:b/>
          <w:sz w:val="28"/>
          <w:szCs w:val="28"/>
          <w:u w:val="single"/>
        </w:rPr>
      </w:pPr>
      <w:r>
        <w:rPr>
          <w:rFonts w:cs="Times New Roman" w:ascii="Times New Roman" w:hAnsi="Times New Roman"/>
          <w:b/>
          <w:sz w:val="28"/>
          <w:szCs w:val="28"/>
          <w:u w:val="single"/>
        </w:rPr>
        <w:t xml:space="preserve">Изготвил:                                                                                              </w:t>
      </w:r>
    </w:p>
    <w:p>
      <w:pPr>
        <w:pStyle w:val="NoSpacing"/>
        <w:numPr>
          <w:ilvl w:val="0"/>
          <w:numId w:val="0"/>
        </w:numPr>
        <w:outlineLvl w:val="0"/>
        <w:rPr>
          <w:rFonts w:ascii="Times New Roman" w:hAnsi="Times New Roman" w:cs="Times New Roman"/>
          <w:i/>
          <w:i/>
          <w:sz w:val="28"/>
          <w:szCs w:val="28"/>
          <w:lang w:val="en-US"/>
        </w:rPr>
      </w:pPr>
      <w:r>
        <w:rPr>
          <w:rFonts w:cs="Times New Roman" w:ascii="Times New Roman" w:hAnsi="Times New Roman"/>
          <w:i/>
          <w:sz w:val="28"/>
          <w:szCs w:val="28"/>
        </w:rPr>
        <w:t>Станислав Младенов</w:t>
      </w:r>
    </w:p>
    <w:p>
      <w:pPr>
        <w:pStyle w:val="NoSpacing"/>
        <w:rPr/>
      </w:pPr>
      <w:r>
        <w:rPr>
          <w:rFonts w:cs="Times New Roman" w:ascii="Times New Roman" w:hAnsi="Times New Roman"/>
          <w:i/>
          <w:sz w:val="28"/>
          <w:szCs w:val="28"/>
        </w:rPr>
        <w:t>Фак.№ 295099, гр.1511</w:t>
      </w:r>
    </w:p>
    <w:p>
      <w:pPr>
        <w:pStyle w:val="NoSpacing"/>
        <w:numPr>
          <w:ilvl w:val="0"/>
          <w:numId w:val="0"/>
        </w:numPr>
        <w:outlineLvl w:val="0"/>
        <w:rPr>
          <w:rFonts w:ascii="Times New Roman" w:hAnsi="Times New Roman" w:cs="Times New Roman"/>
          <w:b/>
          <w:b/>
          <w:sz w:val="28"/>
          <w:szCs w:val="28"/>
          <w:u w:val="single"/>
        </w:rPr>
      </w:pPr>
      <w:r>
        <w:rPr>
          <w:rFonts w:cs="Times New Roman" w:ascii="Times New Roman" w:hAnsi="Times New Roman"/>
          <w:b/>
          <w:sz w:val="28"/>
          <w:szCs w:val="28"/>
          <w:u w:val="single"/>
        </w:rPr>
        <w:t>Проверил:</w:t>
      </w:r>
    </w:p>
    <w:p>
      <w:pPr>
        <w:pStyle w:val="NoSpacing"/>
        <w:rPr>
          <w:rFonts w:ascii="Times New Roman" w:hAnsi="Times New Roman" w:cs="Times New Roman"/>
          <w:sz w:val="28"/>
          <w:szCs w:val="28"/>
        </w:rPr>
      </w:pPr>
      <w:r>
        <w:rPr>
          <w:rFonts w:cs="Times New Roman" w:ascii="Times New Roman" w:hAnsi="Times New Roman"/>
          <w:sz w:val="28"/>
          <w:szCs w:val="28"/>
        </w:rPr>
        <w:t>Доц. М.Толев</w:t>
      </w:r>
    </w:p>
    <w:p>
      <w:pPr>
        <w:pStyle w:val="NoSpacing"/>
        <w:numPr>
          <w:ilvl w:val="0"/>
          <w:numId w:val="0"/>
        </w:numPr>
        <w:ind w:left="284" w:hanging="0"/>
        <w:outlineLvl w:val="0"/>
        <w:rPr>
          <w:rFonts w:ascii="Times New Roman" w:hAnsi="Times New Roman" w:cs="Times New Roman"/>
          <w:i/>
          <w:i/>
          <w:sz w:val="28"/>
          <w:szCs w:val="28"/>
          <w:lang w:val="en-US"/>
        </w:rPr>
      </w:pPr>
      <w:r>
        <w:rPr>
          <w:rFonts w:cs="Times New Roman" w:ascii="Times New Roman" w:hAnsi="Times New Roman"/>
          <w:i/>
          <w:sz w:val="28"/>
          <w:szCs w:val="28"/>
        </w:rPr>
        <w:t>Михаил</w:t>
      </w:r>
      <w:r>
        <w:rPr>
          <w:rFonts w:cs="Times New Roman" w:ascii="Times New Roman" w:hAnsi="Times New Roman"/>
          <w:i/>
          <w:sz w:val="28"/>
          <w:szCs w:val="28"/>
          <w:lang w:val="en-US"/>
        </w:rPr>
        <w:t xml:space="preserve"> </w:t>
      </w:r>
      <w:r>
        <w:rPr>
          <w:rFonts w:cs="Times New Roman" w:ascii="Times New Roman" w:hAnsi="Times New Roman"/>
          <w:i/>
          <w:sz w:val="28"/>
          <w:szCs w:val="28"/>
        </w:rPr>
        <w:t>Балеев</w:t>
      </w:r>
    </w:p>
    <w:p>
      <w:pPr>
        <w:pStyle w:val="NoSpacing"/>
        <w:ind w:left="284" w:hanging="0"/>
        <w:rPr>
          <w:rFonts w:ascii="Times New Roman" w:hAnsi="Times New Roman" w:cs="Times New Roman"/>
          <w:i/>
          <w:i/>
          <w:sz w:val="28"/>
          <w:szCs w:val="28"/>
        </w:rPr>
      </w:pPr>
      <w:r>
        <w:rPr>
          <w:rFonts w:cs="Times New Roman" w:ascii="Times New Roman" w:hAnsi="Times New Roman"/>
          <w:i/>
          <w:sz w:val="28"/>
          <w:szCs w:val="28"/>
        </w:rPr>
        <w:t>Фак.№ 295096, гр.1511</w:t>
      </w:r>
    </w:p>
    <w:p>
      <w:pPr>
        <w:pStyle w:val="NoSpacing"/>
        <w:jc w:val="center"/>
        <w:rPr>
          <w:i/>
          <w:i/>
          <w:sz w:val="40"/>
          <w:szCs w:val="40"/>
        </w:rPr>
      </w:pPr>
      <w:r>
        <w:rPr>
          <w:rFonts w:cs="Times New Roman" w:ascii="Times New Roman" w:hAnsi="Times New Roman"/>
          <w:sz w:val="28"/>
          <w:szCs w:val="28"/>
        </w:rPr>
        <w:t>София, 2013</w:t>
      </w:r>
      <w:r>
        <w:br w:type="page"/>
      </w:r>
    </w:p>
    <w:p>
      <w:pPr>
        <w:pStyle w:val="NoSpacing"/>
        <w:jc w:val="center"/>
        <w:rPr>
          <w:rFonts w:ascii="Times New Roman" w:hAnsi="Times New Roman" w:cs="Times New Roman"/>
          <w:i/>
          <w:i/>
          <w:sz w:val="28"/>
          <w:szCs w:val="28"/>
        </w:rPr>
      </w:pPr>
      <w:r>
        <w:rPr>
          <w:rFonts w:cs="Times New Roman" w:ascii="Times New Roman" w:hAnsi="Times New Roman"/>
          <w:i/>
          <w:sz w:val="28"/>
          <w:szCs w:val="28"/>
        </w:rPr>
      </w:r>
    </w:p>
    <w:p>
      <w:pPr>
        <w:pStyle w:val="Normal"/>
        <w:rPr>
          <w:rFonts w:ascii="Times New Roman" w:hAnsi="Times New Roman" w:cs="Times New Roman"/>
          <w:sz w:val="28"/>
          <w:szCs w:val="28"/>
        </w:rPr>
      </w:pPr>
      <w:r>
        <w:rPr>
          <w:rFonts w:cs="Times New Roman"/>
          <w:sz w:val="28"/>
          <w:szCs w:val="28"/>
        </w:rPr>
      </w:r>
    </w:p>
    <w:sdt>
      <w:sdtPr>
        <w:docPartObj>
          <w:docPartGallery w:val="Table of Contents"/>
          <w:docPartUnique w:val="true"/>
        </w:docPartObj>
      </w:sdtPr>
      <w:sdtContent>
        <w:p>
          <w:pPr>
            <w:pStyle w:val="Contents1"/>
            <w:rPr>
              <w:rFonts w:ascii="Calibri" w:hAnsi="Calibri" w:cs="Calibri"/>
              <w:sz w:val="22"/>
              <w:lang w:val="bg-BG" w:eastAsia="en-US"/>
            </w:rPr>
          </w:pPr>
          <w:r>
            <w:fldChar w:fldCharType="begin"/>
          </w:r>
          <w:r>
            <w:rPr>
              <w:sz w:val="22"/>
              <w:rFonts w:cs="Calibri" w:ascii="Calibri" w:hAnsi="Calibri"/>
            </w:rPr>
            <w:instrText> TOC \o "1-3" \h \z \u </w:instrText>
          </w:r>
          <w:r>
            <w:rPr>
              <w:sz w:val="22"/>
              <w:rFonts w:cs="Calibri" w:ascii="Calibri" w:hAnsi="Calibri"/>
            </w:rPr>
            <w:fldChar w:fldCharType="separate"/>
          </w:r>
          <w:r>
            <w:rPr>
              <w:rFonts w:cs="Calibri" w:ascii="Calibri" w:hAnsi="Calibri"/>
              <w:sz w:val="22"/>
              <w:lang w:val="bg-BG" w:eastAsia="en-US"/>
            </w:rPr>
          </w:r>
        </w:p>
        <w:p>
          <w:pPr>
            <w:pStyle w:val="Heading1"/>
            <w:ind w:right="142" w:hanging="0"/>
            <w:rPr>
              <w:rFonts w:ascii="Times New Roman" w:hAnsi="Times New Roman" w:cs="Times New Roman"/>
              <w:color w:val="000000"/>
              <w:sz w:val="52"/>
              <w:szCs w:val="52"/>
            </w:rPr>
          </w:pPr>
          <w:r>
            <w:rPr>
              <w:rFonts w:cs="Times New Roman" w:ascii="Times New Roman" w:hAnsi="Times New Roman"/>
              <w:color w:val="000000"/>
              <w:sz w:val="52"/>
              <w:szCs w:val="52"/>
            </w:rPr>
            <w:t>Съдържание</w:t>
          </w:r>
        </w:p>
        <w:p>
          <w:pPr>
            <w:pStyle w:val="TOCHeading"/>
            <w:rPr>
              <w:rFonts w:ascii="Calibri" w:hAnsi="Calibri" w:cs="Calibri"/>
              <w:i/>
              <w:i/>
              <w:color w:val="000000"/>
              <w:sz w:val="22"/>
              <w:szCs w:val="52"/>
              <w:lang w:val="bg-BG" w:eastAsia="en-US"/>
            </w:rPr>
          </w:pPr>
          <w:r>
            <w:rPr>
              <w:rFonts w:cs="Calibri" w:ascii="Calibri" w:hAnsi="Calibri"/>
              <w:i/>
              <w:color w:val="000000"/>
              <w:sz w:val="22"/>
              <w:szCs w:val="52"/>
              <w:lang w:val="bg-BG" w:eastAsia="en-US"/>
            </w:rPr>
          </w:r>
        </w:p>
        <w:p>
          <w:pPr>
            <w:pStyle w:val="Contents1"/>
            <w:rPr>
              <w:rFonts w:ascii="Calibri" w:hAnsi="Calibri" w:eastAsia="Arial" w:cs="Calibri"/>
              <w:sz w:val="22"/>
              <w:lang w:val="bg-BG" w:eastAsia="en-US"/>
            </w:rPr>
          </w:pPr>
          <w:hyperlink w:anchor="__RefHeading___Toc346652109">
            <w:r>
              <w:rPr>
                <w:rStyle w:val="IndexLink"/>
                <w:rFonts w:eastAsia="Arial"/>
                <w:lang w:val="en-US" w:eastAsia="en-US"/>
              </w:rPr>
              <w:t>Съдържание</w:t>
            </w:r>
            <w:r>
              <w:rPr>
                <w:rStyle w:val="IndexLink"/>
                <w:lang w:val="en-US" w:eastAsia="en-US"/>
              </w:rPr>
              <w:tab/>
              <w:t>- 1 -</w:t>
            </w:r>
          </w:hyperlink>
        </w:p>
        <w:p>
          <w:pPr>
            <w:pStyle w:val="Contents1"/>
            <w:rPr>
              <w:rFonts w:ascii="Calibri" w:hAnsi="Calibri" w:eastAsia="Arial" w:cs="Calibri"/>
              <w:sz w:val="22"/>
              <w:lang w:val="bg-BG" w:eastAsia="en-US"/>
            </w:rPr>
          </w:pPr>
          <w:hyperlink w:anchor="__RefHeading___Toc346652110">
            <w:r>
              <w:rPr>
                <w:rStyle w:val="IndexLink"/>
                <w:rFonts w:eastAsia="Arial"/>
                <w:lang w:val="en-US" w:eastAsia="en-US"/>
              </w:rPr>
              <w:t>Описание на проекта:</w:t>
            </w:r>
            <w:r>
              <w:rPr>
                <w:rStyle w:val="IndexLink"/>
                <w:lang w:val="en-US" w:eastAsia="en-US"/>
              </w:rPr>
              <w:tab/>
              <w:t>- 2 -</w:t>
            </w:r>
          </w:hyperlink>
        </w:p>
        <w:p>
          <w:pPr>
            <w:pStyle w:val="Contents1"/>
            <w:rPr>
              <w:rFonts w:ascii="Calibri" w:hAnsi="Calibri" w:eastAsia="Arial" w:cs="Calibri"/>
              <w:sz w:val="22"/>
              <w:lang w:val="bg-BG" w:eastAsia="en-US"/>
            </w:rPr>
          </w:pPr>
          <w:hyperlink w:anchor="__RefHeading___Toc346652111">
            <w:r>
              <w:rPr>
                <w:rStyle w:val="IndexLink"/>
                <w:rFonts w:eastAsia="Calibri"/>
                <w:lang w:val="en-US" w:eastAsia="en-US"/>
              </w:rPr>
              <w:t>Социално-икономически цели на проекта</w:t>
            </w:r>
            <w:r>
              <w:rPr>
                <w:rStyle w:val="IndexLink"/>
                <w:rFonts w:eastAsia="Arial"/>
                <w:lang w:val="en-US" w:eastAsia="en-US"/>
              </w:rPr>
              <w:t>:</w:t>
            </w:r>
            <w:r>
              <w:rPr>
                <w:rStyle w:val="IndexLink"/>
                <w:lang w:val="en-US" w:eastAsia="en-US"/>
              </w:rPr>
              <w:tab/>
              <w:t>- 2 -</w:t>
            </w:r>
          </w:hyperlink>
        </w:p>
        <w:p>
          <w:pPr>
            <w:pStyle w:val="Contents1"/>
            <w:rPr>
              <w:rFonts w:ascii="Calibri" w:hAnsi="Calibri" w:eastAsia="Arial" w:cs="Calibri"/>
              <w:sz w:val="22"/>
              <w:lang w:val="bg-BG" w:eastAsia="en-US"/>
            </w:rPr>
          </w:pPr>
          <w:hyperlink w:anchor="__RefHeading___Toc346652112">
            <w:r>
              <w:rPr>
                <w:rStyle w:val="IndexLink"/>
                <w:rFonts w:eastAsia="Calibri"/>
                <w:lang w:val="en-US" w:eastAsia="en-US"/>
              </w:rPr>
              <w:t>Организационна структура на проекта</w:t>
            </w:r>
            <w:r>
              <w:rPr>
                <w:rStyle w:val="IndexLink"/>
                <w:rFonts w:eastAsia="Arial"/>
                <w:lang w:val="en-US" w:eastAsia="en-US"/>
              </w:rPr>
              <w:t>:</w:t>
            </w:r>
            <w:r>
              <w:rPr>
                <w:rStyle w:val="IndexLink"/>
                <w:lang w:val="en-US" w:eastAsia="en-US"/>
              </w:rPr>
              <w:tab/>
              <w:t>- 3 -</w:t>
            </w:r>
          </w:hyperlink>
        </w:p>
        <w:p>
          <w:pPr>
            <w:pStyle w:val="Contents1"/>
            <w:rPr>
              <w:rFonts w:ascii="Calibri" w:hAnsi="Calibri" w:eastAsia="Arial" w:cs="Calibri"/>
              <w:sz w:val="22"/>
              <w:lang w:val="bg-BG" w:eastAsia="en-US"/>
            </w:rPr>
          </w:pPr>
          <w:hyperlink w:anchor="__RefHeading___Toc346652113">
            <w:r>
              <w:rPr>
                <w:rStyle w:val="IndexLink"/>
                <w:rFonts w:eastAsia="Calibri"/>
                <w:lang w:val="en-US" w:eastAsia="en-US"/>
              </w:rPr>
              <w:t>Компоненти на проекта</w:t>
            </w:r>
            <w:r>
              <w:rPr>
                <w:rStyle w:val="IndexLink"/>
                <w:rFonts w:eastAsia="Arial"/>
                <w:lang w:val="en-US" w:eastAsia="en-US"/>
              </w:rPr>
              <w:t>:</w:t>
            </w:r>
            <w:r>
              <w:rPr>
                <w:rStyle w:val="IndexLink"/>
                <w:lang w:val="en-US" w:eastAsia="en-US"/>
              </w:rPr>
              <w:tab/>
              <w:t>- 4 -</w:t>
            </w:r>
          </w:hyperlink>
        </w:p>
        <w:p>
          <w:pPr>
            <w:pStyle w:val="Contents1"/>
            <w:rPr>
              <w:rFonts w:ascii="Calibri" w:hAnsi="Calibri" w:eastAsia="Arial" w:cs="Calibri"/>
              <w:sz w:val="22"/>
              <w:lang w:val="bg-BG" w:eastAsia="en-US"/>
            </w:rPr>
          </w:pPr>
          <w:hyperlink w:anchor="__RefHeading___Toc346652114">
            <w:r>
              <w:rPr>
                <w:rStyle w:val="IndexLink"/>
                <w:rFonts w:eastAsia="Arial"/>
                <w:lang w:val="en-US" w:eastAsia="en-US"/>
              </w:rPr>
              <w:t>Индикатори на проекта:</w:t>
            </w:r>
            <w:r>
              <w:rPr>
                <w:rStyle w:val="IndexLink"/>
                <w:lang w:val="en-US" w:eastAsia="en-US"/>
              </w:rPr>
              <w:tab/>
              <w:t>- 5 -</w:t>
            </w:r>
          </w:hyperlink>
        </w:p>
        <w:p>
          <w:pPr>
            <w:pStyle w:val="Contents1"/>
            <w:rPr>
              <w:rFonts w:ascii="Calibri" w:hAnsi="Calibri" w:eastAsia="Arial" w:cs="Calibri"/>
              <w:sz w:val="22"/>
              <w:lang w:val="bg-BG" w:eastAsia="en-US"/>
            </w:rPr>
          </w:pPr>
          <w:hyperlink w:anchor="__RefHeading___Toc346652115">
            <w:r>
              <w:rPr>
                <w:rStyle w:val="IndexLink"/>
                <w:rFonts w:eastAsia="Calibri"/>
                <w:lang w:val="en-US" w:eastAsia="en-US"/>
              </w:rPr>
              <w:t>Тръжни процедури за изпълнение на проекта</w:t>
            </w:r>
            <w:r>
              <w:rPr>
                <w:rStyle w:val="IndexLink"/>
                <w:rFonts w:eastAsia="Arial"/>
                <w:lang w:val="en-US" w:eastAsia="en-US"/>
              </w:rPr>
              <w:t>:</w:t>
            </w:r>
            <w:r>
              <w:rPr>
                <w:rStyle w:val="IndexLink"/>
                <w:lang w:val="en-US" w:eastAsia="en-US"/>
              </w:rPr>
              <w:tab/>
              <w:t>- 6 -</w:t>
            </w:r>
          </w:hyperlink>
        </w:p>
        <w:p>
          <w:pPr>
            <w:pStyle w:val="Contents1"/>
            <w:rPr>
              <w:rFonts w:ascii="Calibri" w:hAnsi="Calibri" w:eastAsia="Arial" w:cs="Calibri"/>
              <w:sz w:val="22"/>
              <w:lang w:val="bg-BG" w:eastAsia="en-US"/>
            </w:rPr>
          </w:pPr>
          <w:hyperlink w:anchor="__RefHeading___Toc346652116">
            <w:r>
              <w:rPr>
                <w:rStyle w:val="IndexLink"/>
                <w:rFonts w:eastAsia="Calibri"/>
                <w:lang w:val="en-US" w:eastAsia="en-US"/>
              </w:rPr>
              <w:t>Финансов план и бюджет</w:t>
            </w:r>
            <w:r>
              <w:rPr>
                <w:rStyle w:val="IndexLink"/>
                <w:rFonts w:eastAsia="Arial"/>
                <w:lang w:val="en-US" w:eastAsia="en-US"/>
              </w:rPr>
              <w:t>:</w:t>
            </w:r>
            <w:r>
              <w:rPr>
                <w:rStyle w:val="IndexLink"/>
                <w:lang w:val="en-US" w:eastAsia="en-US"/>
              </w:rPr>
              <w:tab/>
              <w:t>- 7 -</w:t>
            </w:r>
          </w:hyperlink>
        </w:p>
        <w:p>
          <w:pPr>
            <w:pStyle w:val="Contents1"/>
            <w:rPr>
              <w:rFonts w:ascii="Calibri" w:hAnsi="Calibri" w:eastAsia="Arial" w:cs="Calibri"/>
              <w:sz w:val="22"/>
              <w:lang w:val="bg-BG" w:eastAsia="en-US"/>
            </w:rPr>
          </w:pPr>
          <w:hyperlink w:anchor="__RefHeading___Toc346652117">
            <w:r>
              <w:rPr>
                <w:rStyle w:val="IndexLink"/>
                <w:rFonts w:eastAsia="Calibri"/>
                <w:lang w:val="en-US" w:eastAsia="en-US"/>
              </w:rPr>
              <w:t>Заинтересовани страни от проекта</w:t>
            </w:r>
            <w:r>
              <w:rPr>
                <w:rStyle w:val="IndexLink"/>
                <w:rFonts w:eastAsia="Arial"/>
                <w:lang w:val="en-US" w:eastAsia="en-US"/>
              </w:rPr>
              <w:t>:</w:t>
            </w:r>
            <w:r>
              <w:rPr>
                <w:rStyle w:val="IndexLink"/>
                <w:lang w:val="en-US" w:eastAsia="en-US"/>
              </w:rPr>
              <w:tab/>
              <w:t>- 11 -</w:t>
            </w:r>
          </w:hyperlink>
        </w:p>
        <w:p>
          <w:pPr>
            <w:pStyle w:val="Contents1"/>
            <w:rPr>
              <w:rFonts w:ascii="Calibri" w:hAnsi="Calibri" w:eastAsia="Arial" w:cs="Calibri"/>
              <w:sz w:val="22"/>
              <w:lang w:val="bg-BG" w:eastAsia="en-US"/>
            </w:rPr>
          </w:pPr>
          <w:hyperlink w:anchor="__RefHeading___Toc346652118">
            <w:r>
              <w:rPr>
                <w:rStyle w:val="IndexLink"/>
                <w:rFonts w:eastAsia="Calibri"/>
                <w:lang w:val="en-US" w:eastAsia="en-US"/>
              </w:rPr>
              <w:t>Описание на основните дейности на проекта</w:t>
            </w:r>
            <w:r>
              <w:rPr>
                <w:rStyle w:val="IndexLink"/>
                <w:rFonts w:eastAsia="Arial"/>
                <w:lang w:val="en-US" w:eastAsia="en-US"/>
              </w:rPr>
              <w:t>:</w:t>
            </w:r>
            <w:r>
              <w:rPr>
                <w:rStyle w:val="IndexLink"/>
                <w:lang w:val="en-US" w:eastAsia="en-US"/>
              </w:rPr>
              <w:tab/>
              <w:t>- 13 -</w:t>
            </w:r>
          </w:hyperlink>
        </w:p>
        <w:p>
          <w:pPr>
            <w:pStyle w:val="Contents1"/>
            <w:rPr>
              <w:rFonts w:ascii="Calibri" w:hAnsi="Calibri" w:eastAsia="Arial" w:cs="Calibri"/>
              <w:sz w:val="22"/>
              <w:lang w:val="bg-BG" w:eastAsia="en-US"/>
            </w:rPr>
          </w:pPr>
          <w:hyperlink w:anchor="__RefHeading___Toc346652119">
            <w:r>
              <w:rPr>
                <w:rStyle w:val="IndexLink"/>
                <w:rFonts w:eastAsia="Calibri"/>
                <w:lang w:val="en-US" w:eastAsia="en-US"/>
              </w:rPr>
              <w:t>Мрежови график на проекта</w:t>
            </w:r>
            <w:r>
              <w:rPr>
                <w:rStyle w:val="IndexLink"/>
                <w:rFonts w:eastAsia="Arial"/>
                <w:lang w:val="en-US" w:eastAsia="en-US"/>
              </w:rPr>
              <w:t>:</w:t>
            </w:r>
            <w:r>
              <w:rPr>
                <w:rStyle w:val="IndexLink"/>
                <w:lang w:val="en-US" w:eastAsia="en-US"/>
              </w:rPr>
              <w:tab/>
              <w:t>- 22 -</w:t>
            </w:r>
          </w:hyperlink>
        </w:p>
        <w:p>
          <w:pPr>
            <w:pStyle w:val="Normal"/>
            <w:rPr>
              <w:rFonts w:eastAsia="Arial"/>
              <w:lang w:val="en-US" w:eastAsia="en-US"/>
            </w:rPr>
          </w:pPr>
          <w:hyperlink w:anchor="__RefHeading___Toc346652120">
            <w:r>
              <w:rPr>
                <w:rStyle w:val="IndexLink"/>
                <w:rFonts w:eastAsia="Calibri"/>
                <w:lang w:val="en-US" w:eastAsia="en-US"/>
              </w:rPr>
              <w:t>Списък с използваните информационни източници</w:t>
            </w:r>
            <w:r>
              <w:rPr>
                <w:rStyle w:val="IndexLink"/>
                <w:rFonts w:eastAsia="Arial"/>
                <w:lang w:val="en-US" w:eastAsia="en-US"/>
              </w:rPr>
              <w:t>:</w:t>
            </w:r>
            <w:r>
              <w:rPr>
                <w:rStyle w:val="IndexLink"/>
                <w:lang w:val="en-US" w:eastAsia="en-US"/>
              </w:rPr>
              <w:tab/>
              <w:t>- 22 -</w:t>
            </w:r>
          </w:hyperlink>
        </w:p>
        <w:p>
          <w:pPr>
            <w:pStyle w:val="Contents1"/>
            <w:rPr>
              <w:lang w:val="en-US" w:eastAsia="en-US"/>
            </w:rPr>
          </w:pPr>
          <w:r>
            <w:rPr>
              <w:lang w:val="en-US" w:eastAsia="en-US"/>
            </w:rPr>
          </w:r>
          <w:r>
            <w:rPr/>
            <w:fldChar w:fldCharType="end"/>
          </w:r>
        </w:p>
      </w:sdtContent>
    </w:sdt>
    <w:p>
      <w:pPr>
        <w:pStyle w:val="Normal"/>
        <w:tabs>
          <w:tab w:val="clear" w:pos="708"/>
          <w:tab w:val="right" w:pos="10065" w:leader="dot"/>
          <w:tab w:val="right" w:pos="10348" w:leader="dot"/>
        </w:tabs>
        <w:ind w:left="-284" w:right="709" w:hanging="0"/>
        <w:rPr>
          <w:lang w:val="en-US" w:eastAsia="en-US"/>
        </w:rPr>
      </w:pPr>
      <w:r>
        <w:rPr>
          <w:lang w:val="en-US" w:eastAsia="en-US"/>
        </w:rPr>
      </w:r>
      <w:r>
        <w:br w:type="page"/>
      </w:r>
    </w:p>
    <w:p>
      <w:pPr>
        <w:pStyle w:val="Heading1"/>
        <w:spacing w:lineRule="auto" w:line="240"/>
        <w:rPr>
          <w:rStyle w:val="StrongEmphasis"/>
          <w:rFonts w:ascii="Times New Roman" w:hAnsi="Times New Roman" w:cs="Times New Roman"/>
          <w:i/>
          <w:i/>
          <w:color w:val="000000"/>
          <w:sz w:val="40"/>
          <w:szCs w:val="40"/>
        </w:rPr>
      </w:pPr>
      <w:bookmarkStart w:id="1" w:name="__RefHeading___Toc346652110"/>
      <w:bookmarkEnd w:id="1"/>
      <w:r>
        <w:rPr>
          <w:rFonts w:cs="Times New Roman" w:ascii="Times New Roman" w:hAnsi="Times New Roman"/>
          <w:b w:val="false"/>
          <w:i/>
          <w:color w:val="000000"/>
          <w:sz w:val="40"/>
          <w:szCs w:val="40"/>
        </w:rPr>
        <w:t>Описание на проекта</w:t>
      </w:r>
      <w:r>
        <w:rPr>
          <w:rStyle w:val="StrongEmphasis"/>
          <w:rFonts w:cs="Times New Roman" w:ascii="Times New Roman" w:hAnsi="Times New Roman"/>
          <w:i/>
          <w:color w:val="000000"/>
          <w:sz w:val="40"/>
          <w:szCs w:val="40"/>
        </w:rPr>
        <w:t>:</w:t>
      </w:r>
    </w:p>
    <w:p>
      <w:pPr>
        <w:pStyle w:val="Normal"/>
        <w:spacing w:lineRule="auto" w:line="240"/>
        <w:rPr>
          <w:rStyle w:val="StrongEmphasis"/>
          <w:rFonts w:ascii="Times New Roman" w:hAnsi="Times New Roman" w:cs="Times New Roman"/>
          <w:i/>
          <w:i/>
          <w:color w:val="000000"/>
          <w:sz w:val="40"/>
          <w:szCs w:val="40"/>
        </w:rPr>
      </w:pPr>
      <w:r>
        <w:rPr/>
      </w:r>
    </w:p>
    <w:p>
      <w:pPr>
        <w:pStyle w:val="Normal"/>
        <w:spacing w:lineRule="auto" w:line="240"/>
        <w:rPr/>
      </w:pPr>
      <w:r>
        <w:rPr/>
      </w:r>
    </w:p>
    <w:p>
      <w:pPr>
        <w:pStyle w:val="NormalWeb"/>
        <w:spacing w:before="0" w:after="0"/>
        <w:ind w:firstLine="567"/>
        <w:jc w:val="both"/>
        <w:rPr/>
      </w:pPr>
      <w:r>
        <w:rPr/>
        <w:t xml:space="preserve">Проект „Интегриран градски транспорт за гр. Бургас” еразработен с финансовата и техническа подкрепа на програма JASPERS и финансирана по Оперативна програма "Регионално развитие" 2007 - 2013г., Приоритетна ос 1: "Устойчиво и интегрирано градско развитие", Операция 1.5: "Системи за устойчив градски транспорт", Схема за предоставяне на безвъзмездна финансова помощ: BG161PO001/1.5-01/2010 "Подкрепа за интегриран градски транспорт в Община Бургас", Договор за безвъзмездна финансова помощ BG161PO001/1.5-01/2010/001. </w:t>
      </w:r>
    </w:p>
    <w:p>
      <w:pPr>
        <w:pStyle w:val="NormalWeb"/>
        <w:spacing w:before="0" w:after="0"/>
        <w:ind w:firstLine="567"/>
        <w:jc w:val="both"/>
        <w:rPr/>
      </w:pPr>
      <w:r>
        <w:rPr/>
        <w:t xml:space="preserve">Общата стойност на проекта е 131 181 116, 83лв. </w:t>
      </w:r>
    </w:p>
    <w:p>
      <w:pPr>
        <w:pStyle w:val="NormalWeb"/>
        <w:spacing w:before="0" w:after="0"/>
        <w:ind w:firstLine="567"/>
        <w:jc w:val="both"/>
        <w:rPr/>
      </w:pPr>
      <w:r>
        <w:rPr/>
        <w:t>Срок за изпълнение на проекта е от 26.11.2010г. до 26.11.2013г.</w:t>
      </w:r>
    </w:p>
    <w:p>
      <w:pPr>
        <w:pStyle w:val="NormalWeb"/>
        <w:spacing w:before="0" w:after="0"/>
        <w:ind w:firstLine="567"/>
        <w:jc w:val="both"/>
        <w:rPr/>
      </w:pPr>
      <w:r>
        <w:rPr/>
        <w:t>Проекта включва редица мероприятия за повишаване ефективността и качеството на услугата за обществен градски транспорт. Чрез осъществяването на проекта жителите и гостите на гр. Бургас ще могат да се възползват до една качествена, безопасна и интегрирана транспортна система. Тази система включва ефективен и удобен автомобилен и тролейбусен транспорт, безопасни и интегрирани с останалата инфраструктура велоалеи, както и нови пешеходни зони.</w:t>
      </w:r>
    </w:p>
    <w:p>
      <w:pPr>
        <w:pStyle w:val="Normal"/>
        <w:spacing w:lineRule="auto" w:line="360"/>
        <w:rPr>
          <w:rStyle w:val="StrongEmphasis"/>
          <w:b w:val="false"/>
          <w:b w:val="false"/>
          <w:i/>
          <w:i/>
          <w:sz w:val="40"/>
          <w:szCs w:val="40"/>
        </w:rPr>
      </w:pPr>
      <w:r>
        <w:rPr/>
      </w:r>
    </w:p>
    <w:p>
      <w:pPr>
        <w:pStyle w:val="Heading1"/>
        <w:spacing w:lineRule="auto" w:line="276"/>
        <w:rPr>
          <w:rStyle w:val="StrongEmphasis"/>
          <w:rFonts w:ascii="Times New Roman" w:hAnsi="Times New Roman" w:cs="Times New Roman"/>
          <w:b w:val="false"/>
          <w:b w:val="false"/>
          <w:i/>
          <w:i/>
          <w:color w:val="000000"/>
          <w:sz w:val="40"/>
          <w:szCs w:val="40"/>
          <w:lang w:val="en-US"/>
        </w:rPr>
      </w:pPr>
      <w:bookmarkStart w:id="2" w:name="__RefHeading___Toc346652111"/>
      <w:bookmarkEnd w:id="2"/>
      <w:r>
        <w:rPr>
          <w:rFonts w:eastAsia="Calibri" w:cs="Times New Roman" w:ascii="Times New Roman" w:hAnsi="Times New Roman"/>
          <w:b w:val="false"/>
          <w:i/>
          <w:color w:val="000000"/>
          <w:sz w:val="40"/>
          <w:szCs w:val="40"/>
        </w:rPr>
        <w:t>Социално-икономически цели на проекта</w:t>
      </w:r>
      <w:r>
        <w:rPr>
          <w:rStyle w:val="StrongEmphasis"/>
          <w:rFonts w:cs="Times New Roman" w:ascii="Times New Roman" w:hAnsi="Times New Roman"/>
          <w:b w:val="false"/>
          <w:i/>
          <w:color w:val="000000"/>
          <w:sz w:val="40"/>
          <w:szCs w:val="40"/>
        </w:rPr>
        <w:t>:</w:t>
      </w:r>
    </w:p>
    <w:p>
      <w:pPr>
        <w:pStyle w:val="ListParagraph"/>
        <w:spacing w:before="0" w:after="0"/>
        <w:ind w:left="0" w:firstLine="567"/>
        <w:contextualSpacing/>
        <w:rPr>
          <w:rStyle w:val="StrongEmphasis"/>
          <w:rFonts w:ascii="Times New Roman" w:hAnsi="Times New Roman" w:cs="Times New Roman"/>
          <w:b w:val="false"/>
          <w:b w:val="false"/>
          <w:i/>
          <w:i/>
          <w:color w:val="000000"/>
          <w:sz w:val="40"/>
          <w:szCs w:val="40"/>
          <w:lang w:val="en-US"/>
        </w:rPr>
      </w:pPr>
      <w:r>
        <w:rPr/>
      </w:r>
    </w:p>
    <w:p>
      <w:pPr>
        <w:pStyle w:val="Default"/>
        <w:ind w:firstLine="567"/>
        <w:rPr/>
      </w:pPr>
      <w:r>
        <w:rPr/>
        <w:t xml:space="preserve">В основата на проект „Интегриран градски транспорт на Бургас” стои интегрираният подход при подобряването на системата за градски транспорт в Бургас, като по този начин се гарантира постигането на значителен </w:t>
      </w:r>
      <w:r>
        <w:rPr>
          <w:b/>
          <w:bCs/>
        </w:rPr>
        <w:t xml:space="preserve">социално-икономически ефект </w:t>
      </w:r>
      <w:r>
        <w:rPr/>
        <w:t xml:space="preserve">чрез: </w:t>
      </w:r>
    </w:p>
    <w:p>
      <w:pPr>
        <w:pStyle w:val="Default"/>
        <w:ind w:firstLine="567"/>
        <w:rPr/>
      </w:pPr>
      <w:r>
        <w:rPr/>
        <w:t xml:space="preserve">- Повишаване на привлекателността и подобряване на достъпа до транспортната услуга; </w:t>
      </w:r>
    </w:p>
    <w:p>
      <w:pPr>
        <w:pStyle w:val="Default"/>
        <w:ind w:firstLine="567"/>
        <w:rPr/>
      </w:pPr>
      <w:r>
        <w:rPr/>
        <w:t xml:space="preserve">- Стимулиране метрополисните функции на града като значим административен, икономически и социален център в рамките на Югоизточен район за планиране; </w:t>
      </w:r>
    </w:p>
    <w:p>
      <w:pPr>
        <w:pStyle w:val="Default"/>
        <w:ind w:firstLine="567"/>
        <w:rPr/>
      </w:pPr>
      <w:r>
        <w:rPr/>
        <w:t xml:space="preserve">- Създаване на условия за по-голяма мобилност на членовете на местната общност, включително за работещите и останалата част от населението на града, като се дава приоритет на природосъобразни начини на придвижване: обществен транспорт, велосипеди и ходене пеша. </w:t>
      </w:r>
    </w:p>
    <w:p>
      <w:pPr>
        <w:pStyle w:val="Default"/>
        <w:ind w:firstLine="567"/>
        <w:rPr/>
      </w:pPr>
      <w:r>
        <w:rPr/>
        <w:t xml:space="preserve">- Превенция и намаляване на задръстванията и повишаване на капацитета и скоростта на системата за обществен транспорт; </w:t>
      </w:r>
    </w:p>
    <w:p>
      <w:pPr>
        <w:pStyle w:val="Default"/>
        <w:ind w:firstLine="567"/>
        <w:rPr/>
      </w:pPr>
      <w:r>
        <w:rPr/>
        <w:t xml:space="preserve">- Подобряване качеството на околната среда чрез намаляване на емисиите, развиване на тролейбусни системи и/или автобуси с ниско ниво на замърсяване. </w:t>
      </w:r>
    </w:p>
    <w:p>
      <w:pPr>
        <w:pStyle w:val="Default"/>
        <w:ind w:firstLine="567"/>
        <w:rPr/>
      </w:pPr>
      <w:r>
        <w:rPr/>
        <w:t xml:space="preserve">- Подобряване на безопасността на транспорта и придвижването в градската среда. </w:t>
      </w:r>
    </w:p>
    <w:p>
      <w:pPr>
        <w:pStyle w:val="Default"/>
        <w:ind w:firstLine="567"/>
        <w:rPr/>
      </w:pPr>
      <w:r>
        <w:rPr/>
        <w:t xml:space="preserve">Предвижданата по проекта линия BRT с дължина 15км ще замени съществуващите автобусни линии с обща дължина от 78км, като предложи много по-качествена и ефективна услуга. Трасето на BRT се локализира така, че позволява 67% от населението на града и 43% от работните места да са в рамките на 500 m от маршрута й. Пет от съществуващите към настоящия момент автобусни линии постигат същия ефект на покритие със значително по-ниска скорост на придвижване и ефективност. </w:t>
      </w:r>
    </w:p>
    <w:p>
      <w:pPr>
        <w:pStyle w:val="Default"/>
        <w:ind w:firstLine="567"/>
        <w:rPr/>
      </w:pPr>
      <w:r>
        <w:rPr/>
        <w:t xml:space="preserve">Социално - икономическият ефект от реализацията на проекта се илюстрира от следните </w:t>
      </w:r>
      <w:r>
        <w:rPr>
          <w:b/>
          <w:bCs/>
        </w:rPr>
        <w:t xml:space="preserve">количествените цели и прогнозни резултати до 2024г.: </w:t>
      </w:r>
    </w:p>
    <w:p>
      <w:pPr>
        <w:pStyle w:val="Default"/>
        <w:ind w:firstLine="567"/>
        <w:rPr/>
      </w:pPr>
      <w:r>
        <w:rPr/>
        <w:t xml:space="preserve">- увеличаване броят на пътуванията с автобус от 26.1 милиона пътници годишно до 34.2 милиона; </w:t>
      </w:r>
    </w:p>
    <w:p>
      <w:pPr>
        <w:pStyle w:val="Default"/>
        <w:ind w:firstLine="567"/>
        <w:rPr/>
      </w:pPr>
      <w:r>
        <w:rPr/>
        <w:t xml:space="preserve">- намаляване средното време за пътуване в автобус от 21.4 минути на 16.5 минути на пътник; </w:t>
      </w:r>
    </w:p>
    <w:p>
      <w:pPr>
        <w:pStyle w:val="Default"/>
        <w:ind w:firstLine="567"/>
        <w:rPr/>
      </w:pPr>
      <w:r>
        <w:rPr/>
        <w:t xml:space="preserve">- намаляване броят на пътувания с лични автомобили от 88.9 милиона до 82.7 милиона годишно </w:t>
      </w:r>
    </w:p>
    <w:p>
      <w:pPr>
        <w:pStyle w:val="Normal"/>
        <w:spacing w:lineRule="auto" w:line="240"/>
        <w:ind w:firstLine="567"/>
        <w:rPr>
          <w:rStyle w:val="StrongEmphasis"/>
          <w:i/>
          <w:i/>
          <w:color w:val="000000"/>
        </w:rPr>
      </w:pPr>
      <w:r>
        <w:rPr/>
        <w:t>- намаляване процентът на пътищата със задръствания от 5.4% дo 4.6%</w:t>
      </w:r>
    </w:p>
    <w:p>
      <w:pPr>
        <w:pStyle w:val="Normal"/>
        <w:spacing w:lineRule="auto" w:line="360"/>
        <w:rPr>
          <w:rStyle w:val="StrongEmphasis"/>
          <w:b w:val="false"/>
          <w:b w:val="false"/>
          <w:i/>
          <w:i/>
          <w:color w:val="000000"/>
          <w:sz w:val="40"/>
          <w:szCs w:val="40"/>
        </w:rPr>
      </w:pPr>
      <w:r>
        <w:rPr/>
      </w:r>
    </w:p>
    <w:p>
      <w:pPr>
        <w:pStyle w:val="Heading1"/>
        <w:rPr/>
      </w:pPr>
      <w:bookmarkStart w:id="3" w:name="__RefHeading___Toc346652112"/>
      <w:bookmarkEnd w:id="3"/>
      <w:r>
        <w:rPr>
          <w:rFonts w:eastAsia="Calibri" w:cs="Times New Roman" w:ascii="Times New Roman" w:hAnsi="Times New Roman"/>
          <w:b w:val="false"/>
          <w:i/>
          <w:color w:val="000000"/>
          <w:sz w:val="40"/>
          <w:szCs w:val="40"/>
        </w:rPr>
        <w:t>Организационна структура на проекта</w:t>
      </w:r>
      <w:r>
        <w:rPr>
          <w:rStyle w:val="StrongEmphasis"/>
          <w:rFonts w:cs="Times New Roman" w:ascii="Times New Roman" w:hAnsi="Times New Roman"/>
          <w:b w:val="false"/>
          <w:i/>
          <w:color w:val="000000"/>
          <w:sz w:val="40"/>
          <w:szCs w:val="40"/>
        </w:rPr>
        <w:t>:</w:t>
      </w:r>
    </w:p>
    <w:p>
      <w:pPr>
        <w:pStyle w:val="Normal"/>
        <w:suppressAutoHyphens w:val="false"/>
        <w:autoSpaceDE w:val="false"/>
        <w:spacing w:lineRule="auto" w:line="276"/>
        <w:ind w:firstLine="567"/>
        <w:rPr>
          <w:rStyle w:val="StrongEmphasis"/>
          <w:rFonts w:ascii="Times New Roman" w:hAnsi="Times New Roman" w:cs="Times New Roman"/>
          <w:b w:val="false"/>
          <w:b w:val="false"/>
          <w:i/>
          <w:i/>
          <w:color w:val="000000"/>
          <w:sz w:val="40"/>
          <w:szCs w:val="40"/>
        </w:rPr>
      </w:pPr>
      <w:r>
        <w:rPr/>
      </w:r>
    </w:p>
    <w:p>
      <w:pPr>
        <w:pStyle w:val="Default"/>
        <w:ind w:firstLine="567"/>
        <w:rPr/>
      </w:pPr>
      <w:r>
        <w:rPr/>
        <w:t xml:space="preserve">Цялостното управление на проекта е отговорност на Община Бургас като бенефициент на проекта. Проектът ще се наблюдава от Комитет за управление на проекта, а Интегрирано звено за изпълнение на проекта (ИЗИП) ще е отговорно за цялостното изпълнение (фиг. 1).  </w:t>
      </w:r>
    </w:p>
    <w:p>
      <w:pPr>
        <w:pStyle w:val="Default"/>
        <w:numPr>
          <w:ilvl w:val="0"/>
          <w:numId w:val="4"/>
        </w:numPr>
        <w:rPr>
          <w:b/>
          <w:b/>
          <w:i/>
          <w:i/>
        </w:rPr>
      </w:pPr>
      <w:r>
        <w:rPr>
          <w:b/>
          <w:bCs/>
          <w:i/>
        </w:rPr>
        <w:t xml:space="preserve">Комитет за управление на проекта </w:t>
      </w:r>
    </w:p>
    <w:p>
      <w:pPr>
        <w:pStyle w:val="Default"/>
        <w:ind w:firstLine="567"/>
        <w:rPr/>
      </w:pPr>
      <w:r>
        <w:rPr/>
        <w:t xml:space="preserve">Комитетът за управление е отговорен за надзора над работата на Интегрираното звено за изпълнение на проекта. Ръководителят на проекта се отчита пред Комитета за управление на месечна база относно развитието на проекта, планиране, бюджет, обществени поръчки и срещани проблеми. Кметът на Бургас е председател на Комитет за управление на проекта, който ще наблюдава и контролира дейността на ИЗИП. Комитетът ще провежда консултации с независим съветник по обществен транспорт </w:t>
      </w:r>
    </w:p>
    <w:p>
      <w:pPr>
        <w:pStyle w:val="Default"/>
        <w:numPr>
          <w:ilvl w:val="0"/>
          <w:numId w:val="4"/>
        </w:numPr>
        <w:rPr>
          <w:b/>
          <w:b/>
          <w:i/>
          <w:i/>
        </w:rPr>
      </w:pPr>
      <w:r>
        <w:rPr>
          <w:b/>
          <w:bCs/>
          <w:i/>
        </w:rPr>
        <w:t xml:space="preserve">Интегрирано звено за изпълнение на проекта (ИЗИП) </w:t>
      </w:r>
    </w:p>
    <w:p>
      <w:pPr>
        <w:pStyle w:val="Default"/>
        <w:rPr/>
      </w:pPr>
      <w:r>
        <w:rPr/>
        <w:t xml:space="preserve">ИЗИП е отговорно за изпълнение на проекта и ще включва: </w:t>
      </w:r>
    </w:p>
    <w:p>
      <w:pPr>
        <w:pStyle w:val="Default"/>
        <w:rPr/>
      </w:pPr>
      <w:r>
        <w:rPr>
          <w:rFonts w:eastAsia="Times New Roman"/>
        </w:rPr>
        <w:t xml:space="preserve"> </w:t>
      </w:r>
      <w:r>
        <w:rPr/>
        <w:t>–</w:t>
      </w:r>
      <w:r>
        <w:rPr>
          <w:rFonts w:eastAsia="Times New Roman"/>
        </w:rPr>
        <w:t xml:space="preserve">  </w:t>
      </w:r>
      <w:r>
        <w:rPr/>
        <w:t>Звено за изпълнение на проекта (ЗИП) - външни консултанти, избрани въз основа на конкурентна тръжна процедура</w:t>
      </w:r>
    </w:p>
    <w:p>
      <w:pPr>
        <w:pStyle w:val="Default"/>
        <w:rPr/>
      </w:pPr>
      <w:r>
        <w:rPr/>
        <w:t>–</w:t>
      </w:r>
      <w:r>
        <w:rPr>
          <w:rFonts w:eastAsia="Times New Roman"/>
        </w:rPr>
        <w:t xml:space="preserve">   </w:t>
      </w:r>
      <w:r>
        <w:rPr/>
        <w:t xml:space="preserve">Екип от общински експерти, определени със заповед на Кмета. </w:t>
      </w:r>
    </w:p>
    <w:p>
      <w:pPr>
        <w:pStyle w:val="Default"/>
        <w:ind w:firstLine="567"/>
        <w:rPr/>
      </w:pPr>
      <w:r>
        <w:rPr/>
        <w:t xml:space="preserve">Основна задача на ИЗИП е да се подготвя и контролира договорите за всички дейности по проекта и да се гарантира по всяко време строга координация между всички компоненти </w:t>
      </w:r>
    </w:p>
    <w:p>
      <w:pPr>
        <w:pStyle w:val="Default"/>
        <w:rPr/>
      </w:pPr>
      <w:r>
        <w:rPr/>
        <w:t xml:space="preserve">Финансирането на дейността на ИЗИП се осигурява в рамките на Проекта „Интегриран градски транспорт на Бургас” и на основата на сключен договор. ИЗИП отговаря за техническото и финансово администриране на основните дейности по проекта за интегриран градски транспорт. ИЗИП изпълнява дейността си съобразно изискванията на Оперативна програма „Регионално развитие” 2007 – 2013, Указания за изпълнение на договори за безвъзмездна финансова помощ на ОПРР, вътрешните правила на Община Бургас и други нормативни актове, касаещи разходването на средствата по Оперативните програми. </w:t>
      </w:r>
    </w:p>
    <w:p>
      <w:pPr>
        <w:pStyle w:val="Default"/>
        <w:numPr>
          <w:ilvl w:val="0"/>
          <w:numId w:val="4"/>
        </w:numPr>
        <w:rPr>
          <w:b/>
          <w:b/>
          <w:i/>
          <w:i/>
        </w:rPr>
      </w:pPr>
      <w:r>
        <w:rPr>
          <w:b/>
          <w:bCs/>
          <w:i/>
        </w:rPr>
        <w:t xml:space="preserve">Ръководител на проекта </w:t>
      </w:r>
    </w:p>
    <w:p>
      <w:pPr>
        <w:pStyle w:val="Default"/>
        <w:ind w:firstLine="567"/>
        <w:rPr/>
      </w:pPr>
      <w:r>
        <w:rPr/>
        <w:t xml:space="preserve">Независим Ръководител на проекта ще бъдe назначен след провеждане на конкурс. ИЗИП ще се ръководи от ръководителя на проекта. Той/Тя ще има широки правомощия и ще координира съвместната работа на общинския екип и външните консултанти от ЗИП и ще представлява ИЗИП пред Ръководния комитет. </w:t>
      </w:r>
    </w:p>
    <w:p>
      <w:pPr>
        <w:pStyle w:val="Normal"/>
        <w:numPr>
          <w:ilvl w:val="0"/>
          <w:numId w:val="4"/>
        </w:numPr>
        <w:suppressAutoHyphens w:val="false"/>
        <w:autoSpaceDE w:val="false"/>
        <w:spacing w:lineRule="auto" w:line="240"/>
        <w:rPr>
          <w:bCs/>
          <w:i/>
          <w:i/>
        </w:rPr>
      </w:pPr>
      <w:r>
        <w:rPr>
          <w:b/>
          <w:bCs/>
          <w:i/>
        </w:rPr>
        <w:t>Независим консултант по политики на обществения транспорт</w:t>
      </w:r>
    </w:p>
    <w:p>
      <w:pPr>
        <w:pStyle w:val="Normal"/>
        <w:suppressAutoHyphens w:val="false"/>
        <w:autoSpaceDE w:val="false"/>
        <w:spacing w:lineRule="auto" w:line="240"/>
        <w:ind w:firstLine="567"/>
        <w:rPr/>
      </w:pPr>
      <w:bookmarkStart w:id="4" w:name="__DdeLink__14_3563214540"/>
      <w:r>
        <w:rPr/>
        <w:t>Независим консултант ще съветва Kомитетът за управление относно дейностите. Независимият консултант ще е експерт с широк и дългосрочен опит в сферата на обществения транспорт.</w:t>
      </w:r>
      <w:bookmarkEnd w:id="4"/>
    </w:p>
    <w:p>
      <w:pPr>
        <w:pStyle w:val="Normal"/>
        <w:spacing w:lineRule="auto" w:line="360"/>
        <w:rPr>
          <w:bCs/>
        </w:rPr>
      </w:pPr>
      <w:r>
        <w:rPr>
          <w:bCs/>
        </w:rPr>
        <w:drawing>
          <wp:inline distT="0" distB="0" distL="0" distR="0">
            <wp:extent cx="6196965" cy="6545580"/>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5"/>
                    <a:srcRect l="-3" t="-3" r="-3" b="-3"/>
                    <a:stretch>
                      <a:fillRect/>
                    </a:stretch>
                  </pic:blipFill>
                  <pic:spPr bwMode="auto">
                    <a:xfrm>
                      <a:off x="0" y="0"/>
                      <a:ext cx="6196965" cy="6545580"/>
                    </a:xfrm>
                    <a:prstGeom prst="rect">
                      <a:avLst/>
                    </a:prstGeom>
                  </pic:spPr>
                </pic:pic>
              </a:graphicData>
            </a:graphic>
          </wp:inline>
        </w:drawing>
      </w:r>
    </w:p>
    <w:p>
      <w:pPr>
        <w:pStyle w:val="Normal"/>
        <w:spacing w:lineRule="auto" w:line="360"/>
        <w:rPr>
          <w:b/>
          <w:b/>
          <w:bCs/>
        </w:rPr>
      </w:pPr>
      <w:r>
        <w:rPr>
          <w:b/>
          <w:bCs/>
        </w:rPr>
        <w:t>Фиг. 1</w:t>
      </w:r>
    </w:p>
    <w:p>
      <w:pPr>
        <w:pStyle w:val="Normal"/>
        <w:spacing w:lineRule="auto" w:line="360"/>
        <w:rPr>
          <w:b/>
          <w:b/>
          <w:bCs/>
        </w:rPr>
      </w:pPr>
      <w:r>
        <w:rPr>
          <w:b/>
          <w:bCs/>
        </w:rPr>
      </w:r>
    </w:p>
    <w:p>
      <w:pPr>
        <w:pStyle w:val="Heading1"/>
        <w:rPr>
          <w:rStyle w:val="StrongEmphasis"/>
          <w:rFonts w:ascii="Times New Roman" w:hAnsi="Times New Roman" w:cs="Times New Roman"/>
          <w:b w:val="false"/>
          <w:b w:val="false"/>
          <w:i/>
          <w:i/>
          <w:color w:val="000000"/>
          <w:sz w:val="40"/>
          <w:szCs w:val="40"/>
        </w:rPr>
      </w:pPr>
      <w:bookmarkStart w:id="5" w:name="__RefHeading___Toc346652113"/>
      <w:bookmarkEnd w:id="5"/>
      <w:r>
        <w:rPr>
          <w:rFonts w:eastAsia="Calibri" w:cs="Times New Roman" w:ascii="Times New Roman" w:hAnsi="Times New Roman"/>
          <w:b w:val="false"/>
          <w:i/>
          <w:color w:val="000000"/>
          <w:sz w:val="40"/>
          <w:szCs w:val="40"/>
        </w:rPr>
        <w:t>Компоненти на проекта</w:t>
      </w:r>
      <w:r>
        <w:rPr>
          <w:rStyle w:val="StrongEmphasis"/>
          <w:rFonts w:cs="Times New Roman" w:ascii="Times New Roman" w:hAnsi="Times New Roman"/>
          <w:b w:val="false"/>
          <w:i/>
          <w:color w:val="000000"/>
          <w:sz w:val="40"/>
          <w:szCs w:val="40"/>
        </w:rPr>
        <w:t>:</w:t>
      </w:r>
    </w:p>
    <w:p>
      <w:pPr>
        <w:pStyle w:val="Normal"/>
        <w:rPr>
          <w:rStyle w:val="StrongEmphasis"/>
          <w:rFonts w:ascii="Times New Roman" w:hAnsi="Times New Roman" w:cs="Times New Roman"/>
          <w:b/>
          <w:b/>
          <w:i/>
          <w:i/>
          <w:color w:val="000000"/>
          <w:sz w:val="40"/>
          <w:szCs w:val="40"/>
        </w:rPr>
      </w:pPr>
      <w:r>
        <w:rPr/>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Обновяване на автобусния парк</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 xml:space="preserve">Изграждане на </w:t>
      </w:r>
      <w:r>
        <w:rPr>
          <w:rFonts w:eastAsia="Arial-BoldMT;MS Mincho"/>
          <w:bCs/>
          <w:color w:val="000000"/>
          <w:kern w:val="0"/>
          <w:lang w:val="en-US" w:eastAsia="bg-BG"/>
        </w:rPr>
        <w:t>BRT</w:t>
      </w:r>
      <w:r>
        <w:rPr>
          <w:rFonts w:eastAsia="Arial-BoldMT;MS Mincho"/>
          <w:bCs/>
          <w:color w:val="000000"/>
          <w:kern w:val="0"/>
          <w:lang w:eastAsia="bg-BG"/>
        </w:rPr>
        <w:t xml:space="preserve"> коридор със сегрегирани автобусни ленти</w:t>
      </w:r>
    </w:p>
    <w:p>
      <w:pPr>
        <w:pStyle w:val="Normal"/>
        <w:numPr>
          <w:ilvl w:val="0"/>
          <w:numId w:val="5"/>
        </w:numPr>
        <w:suppressAutoHyphens w:val="false"/>
        <w:autoSpaceDE w:val="false"/>
        <w:spacing w:lineRule="auto" w:line="240"/>
        <w:rPr/>
      </w:pPr>
      <w:r>
        <w:rPr>
          <w:rFonts w:eastAsia="Arial-BoldMT;MS Mincho"/>
          <w:bCs/>
          <w:color w:val="000000"/>
          <w:kern w:val="0"/>
          <w:lang w:eastAsia="bg-BG"/>
        </w:rPr>
        <w:t xml:space="preserve">Обновяване на терминала в близос до Ж.П. гара и терминал в жк. Меден рудник </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Обновяване и разширяване на автобусното депо</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 xml:space="preserve">Централна автобусна спирка, свързваща маршрута на </w:t>
      </w:r>
      <w:r>
        <w:rPr>
          <w:rFonts w:eastAsia="Arial-BoldMT;MS Mincho"/>
          <w:bCs/>
          <w:color w:val="000000"/>
          <w:kern w:val="0"/>
          <w:lang w:val="en-US" w:eastAsia="bg-BG"/>
        </w:rPr>
        <w:t xml:space="preserve">BRT </w:t>
      </w:r>
      <w:r>
        <w:rPr>
          <w:rFonts w:eastAsia="Arial-BoldMT;MS Mincho"/>
          <w:bCs/>
          <w:color w:val="000000"/>
          <w:kern w:val="0"/>
          <w:lang w:eastAsia="bg-BG"/>
        </w:rPr>
        <w:t>с централната част на града</w:t>
      </w:r>
    </w:p>
    <w:p>
      <w:pPr>
        <w:pStyle w:val="ListParagraph"/>
        <w:numPr>
          <w:ilvl w:val="0"/>
          <w:numId w:val="5"/>
        </w:numPr>
        <w:spacing w:before="0" w:after="0"/>
        <w:contextualSpacing/>
        <w:rPr>
          <w:rFonts w:ascii="Times New Roman" w:hAnsi="Times New Roman" w:eastAsia="Arial-BoldMT;MS Mincho" w:cs="Times New Roman"/>
          <w:bCs/>
          <w:sz w:val="24"/>
          <w:szCs w:val="24"/>
          <w:lang w:eastAsia="bg-BG"/>
        </w:rPr>
      </w:pPr>
      <w:r>
        <w:rPr>
          <w:rFonts w:eastAsia="Arial-BoldMT;MS Mincho" w:cs="Times New Roman" w:ascii="Times New Roman" w:hAnsi="Times New Roman"/>
          <w:bCs/>
          <w:sz w:val="24"/>
          <w:szCs w:val="24"/>
          <w:lang w:eastAsia="bg-BG"/>
        </w:rPr>
        <w:t>Интелигентни системи за управление на трафика</w:t>
      </w:r>
    </w:p>
    <w:p>
      <w:pPr>
        <w:pStyle w:val="ListParagraph"/>
        <w:numPr>
          <w:ilvl w:val="0"/>
          <w:numId w:val="5"/>
        </w:numPr>
        <w:spacing w:before="0" w:after="0"/>
        <w:contextualSpacing/>
        <w:rPr>
          <w:rFonts w:ascii="Times New Roman" w:hAnsi="Times New Roman" w:eastAsia="Arial-BoldMT;MS Mincho" w:cs="Times New Roman"/>
          <w:bCs/>
          <w:sz w:val="24"/>
          <w:szCs w:val="24"/>
          <w:lang w:eastAsia="bg-BG"/>
        </w:rPr>
      </w:pPr>
      <w:r>
        <w:rPr>
          <w:rFonts w:eastAsia="Arial-BoldMT;MS Mincho" w:cs="Times New Roman" w:ascii="Times New Roman" w:hAnsi="Times New Roman"/>
          <w:bCs/>
          <w:sz w:val="24"/>
          <w:szCs w:val="24"/>
          <w:lang w:eastAsia="bg-BG"/>
        </w:rPr>
        <w:t>Интегрирана билетна система</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Изграждане на пешеходни мостове</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Изграждане на единна система за велосипедни алеи</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Зони за паркиране</w:t>
      </w:r>
    </w:p>
    <w:p>
      <w:pPr>
        <w:pStyle w:val="Normal"/>
        <w:numPr>
          <w:ilvl w:val="0"/>
          <w:numId w:val="5"/>
        </w:numPr>
        <w:suppressAutoHyphens w:val="false"/>
        <w:autoSpaceDE w:val="false"/>
        <w:spacing w:lineRule="auto" w:line="240"/>
        <w:rPr>
          <w:rFonts w:eastAsia="Arial-BoldMT;MS Mincho"/>
          <w:bCs/>
          <w:color w:val="000000"/>
          <w:kern w:val="0"/>
          <w:lang w:eastAsia="bg-BG"/>
        </w:rPr>
      </w:pPr>
      <w:r>
        <w:rPr>
          <w:rFonts w:eastAsia="Arial-BoldMT;MS Mincho"/>
          <w:bCs/>
          <w:color w:val="000000"/>
          <w:kern w:val="0"/>
          <w:lang w:eastAsia="bg-BG"/>
        </w:rPr>
        <w:t>Междуселищен автобусен терминал</w:t>
      </w:r>
    </w:p>
    <w:p>
      <w:pPr>
        <w:pStyle w:val="Normal"/>
        <w:spacing w:lineRule="auto" w:line="360"/>
        <w:rPr>
          <w:rFonts w:eastAsia="Arial-BoldMT;MS Mincho"/>
          <w:b/>
          <w:b/>
          <w:bCs/>
          <w:color w:val="000000"/>
          <w:kern w:val="0"/>
          <w:lang w:eastAsia="bg-BG"/>
        </w:rPr>
      </w:pPr>
      <w:r>
        <w:rPr>
          <w:rFonts w:eastAsia="Arial-BoldMT;MS Mincho"/>
          <w:b/>
          <w:bCs/>
          <w:color w:val="000000"/>
          <w:kern w:val="0"/>
          <w:lang w:eastAsia="bg-BG"/>
        </w:rPr>
      </w:r>
    </w:p>
    <w:p>
      <w:pPr>
        <w:pStyle w:val="Heading1"/>
        <w:rPr>
          <w:rStyle w:val="StrongEmphasis"/>
          <w:rFonts w:ascii="Times New Roman" w:hAnsi="Times New Roman" w:cs="Times New Roman"/>
          <w:b w:val="false"/>
          <w:b w:val="false"/>
          <w:i/>
          <w:i/>
          <w:color w:val="000000"/>
          <w:sz w:val="40"/>
          <w:szCs w:val="40"/>
        </w:rPr>
      </w:pPr>
      <w:bookmarkStart w:id="6" w:name="__RefHeading___Toc346652114"/>
      <w:bookmarkEnd w:id="6"/>
      <w:r>
        <w:rPr>
          <w:rFonts w:eastAsia="Arial" w:cs="Times New Roman" w:ascii="Times New Roman" w:hAnsi="Times New Roman"/>
          <w:b w:val="false"/>
          <w:i/>
          <w:color w:val="000000"/>
          <w:sz w:val="40"/>
          <w:szCs w:val="40"/>
        </w:rPr>
        <w:t>Индикатори на проекта</w:t>
      </w:r>
      <w:r>
        <w:rPr>
          <w:rStyle w:val="StrongEmphasis"/>
          <w:rFonts w:cs="Times New Roman" w:ascii="Times New Roman" w:hAnsi="Times New Roman"/>
          <w:b w:val="false"/>
          <w:i/>
          <w:color w:val="000000"/>
          <w:sz w:val="40"/>
          <w:szCs w:val="40"/>
        </w:rPr>
        <w:t>:</w:t>
      </w:r>
    </w:p>
    <w:p>
      <w:pPr>
        <w:pStyle w:val="Normal"/>
        <w:rPr>
          <w:rStyle w:val="StrongEmphasis"/>
          <w:rFonts w:ascii="Times New Roman" w:hAnsi="Times New Roman" w:cs="Times New Roman"/>
          <w:b/>
          <w:b/>
          <w:i/>
          <w:i/>
          <w:color w:val="000000"/>
          <w:sz w:val="40"/>
          <w:szCs w:val="40"/>
        </w:rPr>
      </w:pPr>
      <w:r>
        <w:rPr/>
      </w:r>
    </w:p>
    <w:tbl>
      <w:tblPr>
        <w:tblW w:w="10133" w:type="dxa"/>
        <w:jc w:val="left"/>
        <w:tblInd w:w="-108" w:type="dxa"/>
        <w:tblCellMar>
          <w:top w:w="0" w:type="dxa"/>
          <w:left w:w="108" w:type="dxa"/>
          <w:bottom w:w="0" w:type="dxa"/>
          <w:right w:w="108" w:type="dxa"/>
        </w:tblCellMar>
      </w:tblPr>
      <w:tblGrid>
        <w:gridCol w:w="8768"/>
        <w:gridCol w:w="1365"/>
      </w:tblGrid>
      <w:tr>
        <w:trPr>
          <w:trHeight w:val="556" w:hRule="atLeast"/>
        </w:trPr>
        <w:tc>
          <w:tcPr>
            <w:tcW w:w="8768" w:type="dxa"/>
            <w:tcBorders/>
            <w:shd w:fill="auto" w:val="clear"/>
          </w:tcPr>
          <w:p>
            <w:pPr>
              <w:pStyle w:val="Normal"/>
              <w:snapToGrid w:val="false"/>
              <w:ind w:left="-21" w:hanging="0"/>
              <w:rPr/>
            </w:pPr>
            <w:r>
              <w:rPr/>
            </w:r>
          </w:p>
          <w:p>
            <w:pPr>
              <w:pStyle w:val="Default"/>
              <w:rPr>
                <w:b/>
                <w:b/>
                <w:bCs/>
              </w:rPr>
            </w:pPr>
            <w:r>
              <w:rPr>
                <w:b/>
                <w:bCs/>
              </w:rPr>
              <w:t xml:space="preserve">Индикатори за продукт: </w:t>
            </w:r>
          </w:p>
          <w:p>
            <w:pPr>
              <w:pStyle w:val="Default"/>
              <w:spacing w:lineRule="auto" w:line="276"/>
              <w:rPr/>
            </w:pPr>
            <w:r>
              <w:rPr/>
              <w:t xml:space="preserve">Дължина на изградената BRT мрежа </w:t>
            </w:r>
          </w:p>
          <w:p>
            <w:pPr>
              <w:pStyle w:val="Default"/>
              <w:spacing w:lineRule="auto" w:line="276"/>
              <w:rPr/>
            </w:pPr>
            <w:r>
              <w:rPr/>
              <w:t xml:space="preserve">Дължина на изградени велоалеи  </w:t>
            </w:r>
          </w:p>
          <w:p>
            <w:pPr>
              <w:pStyle w:val="Default"/>
              <w:spacing w:lineRule="auto" w:line="276"/>
              <w:rPr/>
            </w:pPr>
            <w:r>
              <w:rPr/>
              <w:t xml:space="preserve">Брой обновени бази за ремонт (депо и работилница) </w:t>
            </w:r>
          </w:p>
          <w:p>
            <w:pPr>
              <w:pStyle w:val="Default"/>
              <w:spacing w:lineRule="auto" w:line="276"/>
              <w:rPr/>
            </w:pPr>
            <w:r>
              <w:rPr/>
              <w:t xml:space="preserve">Брой обновени автобусни терминали </w:t>
            </w:r>
          </w:p>
          <w:p>
            <w:pPr>
              <w:pStyle w:val="Default"/>
              <w:spacing w:lineRule="auto" w:line="276"/>
              <w:rPr/>
            </w:pPr>
            <w:r>
              <w:rPr/>
              <w:t xml:space="preserve">Брой обновени автобусни спирки (Централна автобусна спирка) </w:t>
            </w:r>
          </w:p>
          <w:p>
            <w:pPr>
              <w:pStyle w:val="Default"/>
              <w:spacing w:lineRule="auto" w:line="276"/>
              <w:rPr/>
            </w:pPr>
            <w:r>
              <w:rPr/>
              <w:t xml:space="preserve">Брой изградени пешеходни надлези </w:t>
            </w:r>
          </w:p>
          <w:p>
            <w:pPr>
              <w:pStyle w:val="Default"/>
              <w:spacing w:lineRule="auto" w:line="276"/>
              <w:rPr/>
            </w:pPr>
            <w:r>
              <w:rPr/>
              <w:t xml:space="preserve">Брой закупени съчленени дизелови автобуси </w:t>
            </w:r>
          </w:p>
          <w:p>
            <w:pPr>
              <w:pStyle w:val="Default"/>
              <w:spacing w:lineRule="auto" w:line="276"/>
              <w:rPr/>
            </w:pPr>
            <w:r>
              <w:rPr/>
              <w:t xml:space="preserve">Брой закупени метанови автобуси </w:t>
            </w:r>
          </w:p>
          <w:p>
            <w:pPr>
              <w:pStyle w:val="Default"/>
              <w:spacing w:lineRule="auto" w:line="276"/>
              <w:rPr/>
            </w:pPr>
            <w:r>
              <w:rPr/>
              <w:t xml:space="preserve">Брой въведени системи за автоматизирано управление на обществения транспорт </w:t>
            </w:r>
          </w:p>
          <w:p>
            <w:pPr>
              <w:pStyle w:val="Default"/>
              <w:spacing w:lineRule="auto" w:line="276"/>
              <w:rPr/>
            </w:pPr>
            <w:r>
              <w:rPr/>
              <w:t xml:space="preserve">Брой изготвени предпроектни проучвания </w:t>
            </w:r>
          </w:p>
          <w:p>
            <w:pPr>
              <w:pStyle w:val="Default"/>
              <w:rPr>
                <w:b/>
                <w:b/>
                <w:bCs/>
              </w:rPr>
            </w:pPr>
            <w:r>
              <w:rPr>
                <w:b/>
                <w:bCs/>
              </w:rPr>
              <w:t xml:space="preserve">Индикатори за резултат: </w:t>
            </w:r>
          </w:p>
          <w:p>
            <w:pPr>
              <w:pStyle w:val="Default"/>
              <w:rPr>
                <w:lang w:val="en-US"/>
              </w:rPr>
            </w:pPr>
            <w:r>
              <w:rPr/>
              <w:t xml:space="preserve">Брой пътувания с обществения транспорт - милиони пътници (2013г.) </w:t>
            </w:r>
          </w:p>
          <w:p>
            <w:pPr>
              <w:pStyle w:val="Default"/>
              <w:rPr>
                <w:lang w:val="en-US"/>
              </w:rPr>
            </w:pPr>
            <w:r>
              <w:rPr/>
              <w:t xml:space="preserve">Пазарен дял на обществения транспорт (2024г.) </w:t>
            </w:r>
          </w:p>
          <w:p>
            <w:pPr>
              <w:pStyle w:val="Default"/>
              <w:rPr>
                <w:lang w:val="en-US"/>
              </w:rPr>
            </w:pPr>
            <w:r>
              <w:rPr/>
              <w:t xml:space="preserve">Намалени емисии парникови газове (CO2) - тона/година </w:t>
            </w:r>
          </w:p>
          <w:p>
            <w:pPr>
              <w:pStyle w:val="Default"/>
              <w:rPr>
                <w:lang w:val="en-US"/>
              </w:rPr>
            </w:pPr>
            <w:r>
              <w:rPr/>
              <w:t xml:space="preserve">Брой население облагодетелствано от реализацията на проекта </w:t>
            </w:r>
          </w:p>
          <w:p>
            <w:pPr>
              <w:pStyle w:val="Default"/>
              <w:rPr>
                <w:lang w:val="en-US"/>
              </w:rPr>
            </w:pPr>
            <w:r>
              <w:rPr/>
              <w:t xml:space="preserve">Брой хора с увреждания облагодетелствани от реализацията на проекта </w:t>
            </w:r>
          </w:p>
          <w:p>
            <w:pPr>
              <w:pStyle w:val="Default"/>
              <w:rPr/>
            </w:pPr>
            <w:r>
              <w:rPr/>
              <w:t xml:space="preserve">Брой новосъздадени работни места: </w:t>
            </w:r>
          </w:p>
          <w:p>
            <w:pPr>
              <w:pStyle w:val="Default"/>
              <w:rPr/>
            </w:pPr>
            <w:r>
              <w:rPr/>
              <w:t xml:space="preserve">- временни  </w:t>
            </w:r>
          </w:p>
          <w:p>
            <w:pPr>
              <w:pStyle w:val="Normal"/>
              <w:spacing w:lineRule="auto" w:line="276"/>
              <w:rPr>
                <w:rStyle w:val="StrongEmphasis"/>
                <w:b w:val="false"/>
                <w:b w:val="false"/>
                <w:i/>
                <w:i/>
                <w:lang w:val="en-US"/>
              </w:rPr>
            </w:pPr>
            <w:r>
              <w:rPr/>
              <w:t xml:space="preserve">- постоянни </w:t>
            </w:r>
          </w:p>
          <w:p>
            <w:pPr>
              <w:pStyle w:val="Normal"/>
              <w:rPr>
                <w:rStyle w:val="StrongEmphasis"/>
                <w:b w:val="false"/>
                <w:b w:val="false"/>
                <w:i/>
                <w:i/>
                <w:lang w:val="en-US"/>
              </w:rPr>
            </w:pPr>
            <w:r>
              <w:rPr/>
            </w:r>
          </w:p>
        </w:tc>
        <w:tc>
          <w:tcPr>
            <w:tcW w:w="1365" w:type="dxa"/>
            <w:tcBorders/>
            <w:shd w:fill="auto" w:val="clear"/>
          </w:tcPr>
          <w:p>
            <w:pPr>
              <w:pStyle w:val="Normal"/>
              <w:snapToGrid w:val="false"/>
              <w:rPr/>
            </w:pPr>
            <w:r>
              <w:rPr/>
            </w:r>
          </w:p>
          <w:p>
            <w:pPr>
              <w:pStyle w:val="Default"/>
              <w:spacing w:lineRule="auto" w:line="276"/>
              <w:rPr/>
            </w:pPr>
            <w:r>
              <w:rPr/>
            </w:r>
          </w:p>
          <w:p>
            <w:pPr>
              <w:pStyle w:val="Default"/>
              <w:spacing w:lineRule="auto" w:line="276"/>
              <w:rPr/>
            </w:pPr>
            <w:r>
              <w:rPr/>
              <w:t>15км</w:t>
            </w:r>
          </w:p>
          <w:p>
            <w:pPr>
              <w:pStyle w:val="Default"/>
              <w:spacing w:lineRule="auto" w:line="276"/>
              <w:rPr/>
            </w:pPr>
            <w:r>
              <w:rPr/>
              <w:t>20.2км</w:t>
            </w:r>
          </w:p>
          <w:p>
            <w:pPr>
              <w:pStyle w:val="Default"/>
              <w:spacing w:lineRule="auto" w:line="276"/>
              <w:rPr/>
            </w:pPr>
            <w:r>
              <w:rPr/>
              <w:t>1</w:t>
            </w:r>
          </w:p>
          <w:p>
            <w:pPr>
              <w:pStyle w:val="Default"/>
              <w:spacing w:lineRule="auto" w:line="276"/>
              <w:rPr/>
            </w:pPr>
            <w:r>
              <w:rPr/>
              <w:t>2</w:t>
            </w:r>
          </w:p>
          <w:p>
            <w:pPr>
              <w:pStyle w:val="Default"/>
              <w:spacing w:lineRule="auto" w:line="276"/>
              <w:rPr/>
            </w:pPr>
            <w:r>
              <w:rPr/>
              <w:t>1</w:t>
            </w:r>
          </w:p>
          <w:p>
            <w:pPr>
              <w:pStyle w:val="Default"/>
              <w:spacing w:lineRule="auto" w:line="276"/>
              <w:rPr/>
            </w:pPr>
            <w:r>
              <w:rPr/>
              <w:t>4</w:t>
            </w:r>
          </w:p>
          <w:p>
            <w:pPr>
              <w:pStyle w:val="Default"/>
              <w:spacing w:lineRule="auto" w:line="276"/>
              <w:rPr/>
            </w:pPr>
            <w:r>
              <w:rPr/>
              <w:t>28</w:t>
            </w:r>
          </w:p>
          <w:p>
            <w:pPr>
              <w:pStyle w:val="Default"/>
              <w:spacing w:lineRule="auto" w:line="276"/>
              <w:rPr/>
            </w:pPr>
            <w:r>
              <w:rPr/>
              <w:t>39</w:t>
            </w:r>
          </w:p>
          <w:p>
            <w:pPr>
              <w:pStyle w:val="Default"/>
              <w:spacing w:lineRule="auto" w:line="276"/>
              <w:rPr/>
            </w:pPr>
            <w:r>
              <w:rPr/>
              <w:t>4</w:t>
            </w:r>
          </w:p>
          <w:p>
            <w:pPr>
              <w:pStyle w:val="Default"/>
              <w:spacing w:lineRule="auto" w:line="276"/>
              <w:rPr/>
            </w:pPr>
            <w:r>
              <w:rPr/>
              <w:t>3</w:t>
            </w:r>
          </w:p>
          <w:p>
            <w:pPr>
              <w:pStyle w:val="Default"/>
              <w:spacing w:lineRule="auto" w:line="276"/>
              <w:rPr/>
            </w:pPr>
            <w:r>
              <w:rPr/>
            </w:r>
          </w:p>
          <w:p>
            <w:pPr>
              <w:pStyle w:val="Default"/>
              <w:spacing w:lineRule="auto" w:line="276"/>
              <w:rPr/>
            </w:pPr>
            <w:r>
              <w:rPr/>
              <w:t>33.6 мил.</w:t>
            </w:r>
          </w:p>
          <w:p>
            <w:pPr>
              <w:pStyle w:val="Default"/>
              <w:spacing w:lineRule="auto" w:line="276"/>
              <w:rPr/>
            </w:pPr>
            <w:r>
              <w:rPr/>
              <w:t>24</w:t>
            </w:r>
            <w:r>
              <w:rPr>
                <w:lang w:val="en-US"/>
              </w:rPr>
              <w:t>%</w:t>
            </w:r>
          </w:p>
          <w:p>
            <w:pPr>
              <w:pStyle w:val="Default"/>
              <w:spacing w:lineRule="auto" w:line="276"/>
              <w:rPr>
                <w:lang w:val="en-US"/>
              </w:rPr>
            </w:pPr>
            <w:r>
              <w:rPr>
                <w:lang w:val="en-US"/>
              </w:rPr>
              <w:t>1,507</w:t>
            </w:r>
          </w:p>
          <w:p>
            <w:pPr>
              <w:pStyle w:val="Default"/>
              <w:spacing w:lineRule="auto" w:line="276"/>
              <w:rPr>
                <w:lang w:val="en-US"/>
              </w:rPr>
            </w:pPr>
            <w:r>
              <w:rPr>
                <w:lang w:val="en-US"/>
              </w:rPr>
              <w:t>318 000</w:t>
            </w:r>
          </w:p>
          <w:p>
            <w:pPr>
              <w:pStyle w:val="Default"/>
              <w:spacing w:lineRule="auto" w:line="276"/>
              <w:rPr>
                <w:lang w:val="en-US"/>
              </w:rPr>
            </w:pPr>
            <w:r>
              <w:rPr>
                <w:lang w:val="en-US"/>
              </w:rPr>
              <w:t>500</w:t>
            </w:r>
          </w:p>
          <w:p>
            <w:pPr>
              <w:pStyle w:val="Default"/>
              <w:spacing w:lineRule="auto" w:line="276"/>
              <w:rPr>
                <w:lang w:val="en-US"/>
              </w:rPr>
            </w:pPr>
            <w:r>
              <w:rPr>
                <w:lang w:val="en-US"/>
              </w:rPr>
              <w:t>822</w:t>
            </w:r>
          </w:p>
          <w:p>
            <w:pPr>
              <w:pStyle w:val="Default"/>
              <w:spacing w:lineRule="auto" w:line="276"/>
              <w:rPr>
                <w:lang w:val="en-US"/>
              </w:rPr>
            </w:pPr>
            <w:r>
              <w:rPr>
                <w:lang w:val="en-US"/>
              </w:rPr>
              <w:t>101</w:t>
            </w:r>
          </w:p>
          <w:p>
            <w:pPr>
              <w:pStyle w:val="Normal"/>
              <w:rPr>
                <w:lang w:val="en-US"/>
              </w:rPr>
            </w:pPr>
            <w:r>
              <w:rPr>
                <w:lang w:val="en-U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Heading1"/>
        <w:rPr/>
      </w:pPr>
      <w:bookmarkStart w:id="7" w:name="__RefHeading___Toc346652115"/>
      <w:bookmarkEnd w:id="7"/>
      <w:r>
        <w:rPr>
          <w:rFonts w:eastAsia="Calibri" w:cs="Times New Roman" w:ascii="Times New Roman" w:hAnsi="Times New Roman"/>
          <w:b w:val="false"/>
          <w:i/>
          <w:color w:val="000000"/>
          <w:sz w:val="40"/>
          <w:szCs w:val="40"/>
        </w:rPr>
        <w:t>Тръжни процедури за изпълнение на проекта</w:t>
      </w:r>
      <w:r>
        <w:rPr>
          <w:rStyle w:val="StrongEmphasis"/>
          <w:rFonts w:cs="Times New Roman" w:ascii="Times New Roman" w:hAnsi="Times New Roman"/>
          <w:b w:val="false"/>
          <w:i/>
          <w:color w:val="000000"/>
          <w:sz w:val="40"/>
          <w:szCs w:val="40"/>
        </w:rPr>
        <w:t>:</w:t>
      </w:r>
    </w:p>
    <w:p>
      <w:pPr>
        <w:pStyle w:val="Normal"/>
        <w:rPr>
          <w:rStyle w:val="StrongEmphasis"/>
          <w:rFonts w:ascii="Times New Roman" w:hAnsi="Times New Roman" w:cs="Times New Roman"/>
          <w:b w:val="false"/>
          <w:b w:val="false"/>
          <w:i/>
          <w:i/>
          <w:color w:val="000000"/>
          <w:sz w:val="40"/>
          <w:szCs w:val="40"/>
        </w:rPr>
      </w:pPr>
      <w:r>
        <w:rPr/>
      </w:r>
    </w:p>
    <w:p>
      <w:pPr>
        <w:pStyle w:val="Normal"/>
        <w:rPr/>
      </w:pPr>
      <w:r>
        <w:rPr/>
        <w:drawing>
          <wp:inline distT="0" distB="0" distL="0" distR="0">
            <wp:extent cx="6205220" cy="8157210"/>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6"/>
                    <a:srcRect l="-3" t="-2" r="-3" b="-2"/>
                    <a:stretch>
                      <a:fillRect/>
                    </a:stretch>
                  </pic:blipFill>
                  <pic:spPr bwMode="auto">
                    <a:xfrm>
                      <a:off x="0" y="0"/>
                      <a:ext cx="6205220" cy="8157210"/>
                    </a:xfrm>
                    <a:prstGeom prst="rect">
                      <a:avLst/>
                    </a:prstGeom>
                  </pic:spPr>
                </pic:pic>
              </a:graphicData>
            </a:graphic>
          </wp:inline>
        </w:drawing>
      </w:r>
    </w:p>
    <w:p>
      <w:pPr>
        <w:pStyle w:val="Normal"/>
        <w:rPr/>
      </w:pPr>
      <w:r>
        <w:rPr/>
        <w:drawing>
          <wp:inline distT="0" distB="0" distL="0" distR="0">
            <wp:extent cx="6209030" cy="567690"/>
            <wp:effectExtent l="0" t="0" r="0" b="0"/>
            <wp:docPr id="4"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descr=""/>
                    <pic:cNvPicPr>
                      <a:picLocks noChangeAspect="1" noChangeArrowheads="1"/>
                    </pic:cNvPicPr>
                  </pic:nvPicPr>
                  <pic:blipFill>
                    <a:blip r:embed="rId7"/>
                    <a:srcRect l="-3" t="-35" r="-3" b="-35"/>
                    <a:stretch>
                      <a:fillRect/>
                    </a:stretch>
                  </pic:blipFill>
                  <pic:spPr bwMode="auto">
                    <a:xfrm>
                      <a:off x="0" y="0"/>
                      <a:ext cx="6209030" cy="567690"/>
                    </a:xfrm>
                    <a:prstGeom prst="rect">
                      <a:avLst/>
                    </a:prstGeom>
                  </pic:spPr>
                </pic:pic>
              </a:graphicData>
            </a:graphic>
          </wp:inline>
        </w:drawing>
      </w:r>
    </w:p>
    <w:p>
      <w:pPr>
        <w:pStyle w:val="Normal"/>
        <w:rPr/>
      </w:pPr>
      <w:r>
        <w:rPr/>
        <w:drawing>
          <wp:inline distT="0" distB="0" distL="0" distR="0">
            <wp:extent cx="6209030" cy="3420110"/>
            <wp:effectExtent l="0" t="0" r="0" b="0"/>
            <wp:docPr id="5"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descr=""/>
                    <pic:cNvPicPr>
                      <a:picLocks noChangeAspect="1" noChangeArrowheads="1"/>
                    </pic:cNvPicPr>
                  </pic:nvPicPr>
                  <pic:blipFill>
                    <a:blip r:embed="rId8"/>
                    <a:srcRect l="-3" t="-5" r="-3" b="-5"/>
                    <a:stretch>
                      <a:fillRect/>
                    </a:stretch>
                  </pic:blipFill>
                  <pic:spPr bwMode="auto">
                    <a:xfrm>
                      <a:off x="0" y="0"/>
                      <a:ext cx="6209030" cy="3420110"/>
                    </a:xfrm>
                    <a:prstGeom prst="rect">
                      <a:avLst/>
                    </a:prstGeom>
                  </pic:spPr>
                </pic:pic>
              </a:graphicData>
            </a:graphic>
          </wp:inline>
        </w:drawing>
      </w:r>
    </w:p>
    <w:p>
      <w:pPr>
        <w:pStyle w:val="Normal"/>
        <w:rPr/>
      </w:pPr>
      <w:r>
        <w:rPr/>
      </w:r>
    </w:p>
    <w:p>
      <w:pPr>
        <w:pStyle w:val="Normal"/>
        <w:rPr/>
      </w:pPr>
      <w:r>
        <w:rPr/>
      </w:r>
    </w:p>
    <w:p>
      <w:pPr>
        <w:pStyle w:val="Heading1"/>
        <w:rPr>
          <w:rStyle w:val="StrongEmphasis"/>
          <w:rFonts w:ascii="Times New Roman" w:hAnsi="Times New Roman" w:cs="Times New Roman"/>
          <w:b w:val="false"/>
          <w:b w:val="false"/>
          <w:i/>
          <w:i/>
          <w:color w:val="000000"/>
          <w:sz w:val="40"/>
          <w:szCs w:val="40"/>
        </w:rPr>
      </w:pPr>
      <w:bookmarkStart w:id="8" w:name="__RefHeading___Toc346652116"/>
      <w:bookmarkEnd w:id="8"/>
      <w:r>
        <w:rPr>
          <w:rFonts w:eastAsia="Calibri" w:cs="Times New Roman" w:ascii="Times New Roman" w:hAnsi="Times New Roman"/>
          <w:b w:val="false"/>
          <w:i/>
          <w:color w:val="000000"/>
          <w:sz w:val="40"/>
          <w:szCs w:val="40"/>
        </w:rPr>
        <w:t>Финансов план и бюджет</w:t>
      </w:r>
      <w:r>
        <w:rPr>
          <w:rStyle w:val="StrongEmphasis"/>
          <w:rFonts w:cs="Times New Roman" w:ascii="Times New Roman" w:hAnsi="Times New Roman"/>
          <w:b w:val="false"/>
          <w:i/>
          <w:color w:val="000000"/>
          <w:sz w:val="40"/>
          <w:szCs w:val="40"/>
        </w:rPr>
        <w:t>:</w:t>
      </w:r>
    </w:p>
    <w:p>
      <w:pPr>
        <w:pStyle w:val="Normal"/>
        <w:rPr>
          <w:rStyle w:val="StrongEmphasis"/>
          <w:rFonts w:ascii="Times New Roman" w:hAnsi="Times New Roman" w:cs="Times New Roman"/>
          <w:b/>
          <w:b/>
          <w:i/>
          <w:i/>
          <w:color w:val="000000"/>
          <w:sz w:val="40"/>
          <w:szCs w:val="40"/>
        </w:rPr>
      </w:pPr>
      <w:r>
        <w:rPr/>
      </w:r>
    </w:p>
    <w:p>
      <w:pPr>
        <w:pStyle w:val="Normal"/>
        <w:rPr/>
      </w:pPr>
      <w:r>
        <w:rPr/>
      </w:r>
    </w:p>
    <w:p>
      <w:pPr>
        <w:pStyle w:val="Normal"/>
        <w:numPr>
          <w:ilvl w:val="0"/>
          <w:numId w:val="4"/>
        </w:numPr>
        <w:rPr>
          <w:b/>
          <w:b/>
          <w:i/>
          <w:i/>
        </w:rPr>
      </w:pPr>
      <w:r>
        <w:rPr>
          <w:b/>
          <w:i/>
        </w:rPr>
        <w:t>Финансов план</w:t>
      </w:r>
    </w:p>
    <w:p>
      <w:pPr>
        <w:pStyle w:val="Normal"/>
        <w:rPr>
          <w:b/>
          <w:b/>
          <w:i/>
          <w:i/>
        </w:rPr>
      </w:pPr>
      <w:r>
        <w:rPr>
          <w:b/>
          <w:i/>
        </w:rPr>
      </w:r>
    </w:p>
    <w:tbl>
      <w:tblPr>
        <w:tblW w:w="9795" w:type="dxa"/>
        <w:jc w:val="left"/>
        <w:tblInd w:w="-9" w:type="dxa"/>
        <w:tblCellMar>
          <w:top w:w="0" w:type="dxa"/>
          <w:left w:w="70" w:type="dxa"/>
          <w:bottom w:w="0" w:type="dxa"/>
          <w:right w:w="70" w:type="dxa"/>
        </w:tblCellMar>
      </w:tblPr>
      <w:tblGrid>
        <w:gridCol w:w="1815"/>
        <w:gridCol w:w="1890"/>
        <w:gridCol w:w="2055"/>
        <w:gridCol w:w="2010"/>
        <w:gridCol w:w="2025"/>
      </w:tblGrid>
      <w:tr>
        <w:trPr>
          <w:trHeight w:val="330" w:hRule="atLeast"/>
        </w:trPr>
        <w:tc>
          <w:tcPr>
            <w:tcW w:w="5760" w:type="dxa"/>
            <w:gridSpan w:val="3"/>
            <w:tcBorders>
              <w:top w:val="single" w:sz="12" w:space="0" w:color="1F497D"/>
              <w:left w:val="single" w:sz="12" w:space="0" w:color="1F497D"/>
              <w:bottom w:val="single" w:sz="12" w:space="0" w:color="1F497D"/>
            </w:tcBorders>
            <w:shd w:fill="auto" w:val="clear"/>
          </w:tcPr>
          <w:p>
            <w:pPr>
              <w:pStyle w:val="Normal"/>
              <w:rPr/>
            </w:pPr>
            <w:r>
              <w:rPr/>
              <w:t>Размер на финансовия дефицит (%)</w:t>
            </w:r>
          </w:p>
        </w:tc>
        <w:tc>
          <w:tcPr>
            <w:tcW w:w="4035" w:type="dxa"/>
            <w:gridSpan w:val="2"/>
            <w:tcBorders>
              <w:top w:val="single" w:sz="12" w:space="0" w:color="1F497D"/>
              <w:left w:val="single" w:sz="12" w:space="0" w:color="1F497D"/>
              <w:bottom w:val="single" w:sz="12" w:space="0" w:color="1F497D"/>
              <w:right w:val="single" w:sz="12" w:space="0" w:color="1F497D"/>
            </w:tcBorders>
            <w:shd w:fill="auto" w:val="clear"/>
          </w:tcPr>
          <w:p>
            <w:pPr>
              <w:pStyle w:val="Normal"/>
              <w:rPr/>
            </w:pPr>
            <w:r>
              <w:rPr>
                <w:rFonts w:eastAsia="Times New Roman"/>
              </w:rPr>
              <w:t xml:space="preserve"> </w:t>
            </w:r>
            <w:r>
              <w:rPr/>
              <w:t>83,49%</w:t>
            </w:r>
          </w:p>
        </w:tc>
      </w:tr>
      <w:tr>
        <w:trPr>
          <w:trHeight w:val="1230" w:hRule="atLeast"/>
        </w:trPr>
        <w:tc>
          <w:tcPr>
            <w:tcW w:w="1815" w:type="dxa"/>
            <w:tcBorders>
              <w:top w:val="single" w:sz="12" w:space="0" w:color="1F497D"/>
              <w:left w:val="single" w:sz="12" w:space="0" w:color="1F497D"/>
              <w:bottom w:val="single" w:sz="12" w:space="0" w:color="1F497D"/>
            </w:tcBorders>
            <w:shd w:fill="auto" w:val="clear"/>
          </w:tcPr>
          <w:p>
            <w:pPr>
              <w:pStyle w:val="Normal"/>
              <w:rPr/>
            </w:pPr>
            <w:r>
              <w:rPr/>
              <w:t>Инвестиционни разходи (общо)</w:t>
            </w:r>
          </w:p>
        </w:tc>
        <w:tc>
          <w:tcPr>
            <w:tcW w:w="1890"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rPr/>
            </w:pPr>
            <w:r>
              <w:rPr/>
              <w:t>Помощ от Общността</w:t>
            </w:r>
          </w:p>
        </w:tc>
        <w:tc>
          <w:tcPr>
            <w:tcW w:w="2055"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rPr/>
            </w:pPr>
            <w:r>
              <w:rPr/>
              <w:t>Национално съфинансиране</w:t>
            </w:r>
          </w:p>
        </w:tc>
        <w:tc>
          <w:tcPr>
            <w:tcW w:w="2010"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rPr/>
            </w:pPr>
            <w:r>
              <w:rPr/>
              <w:t>Национално частно участие</w:t>
            </w:r>
          </w:p>
        </w:tc>
        <w:tc>
          <w:tcPr>
            <w:tcW w:w="2025" w:type="dxa"/>
            <w:tcBorders>
              <w:top w:val="single" w:sz="12" w:space="0" w:color="1F497D"/>
              <w:left w:val="single" w:sz="12" w:space="0" w:color="1F497D"/>
              <w:bottom w:val="single" w:sz="12" w:space="0" w:color="1F497D"/>
              <w:right w:val="single" w:sz="12" w:space="0" w:color="1F497D"/>
            </w:tcBorders>
            <w:shd w:fill="auto" w:val="clear"/>
          </w:tcPr>
          <w:p>
            <w:pPr>
              <w:pStyle w:val="Normal"/>
              <w:suppressAutoHyphens w:val="false"/>
              <w:spacing w:lineRule="auto" w:line="240"/>
              <w:rPr/>
            </w:pPr>
            <w:r>
              <w:rPr/>
              <w:t>Принос на община Бургас</w:t>
            </w:r>
          </w:p>
        </w:tc>
      </w:tr>
      <w:tr>
        <w:trPr>
          <w:trHeight w:val="825" w:hRule="atLeast"/>
        </w:trPr>
        <w:tc>
          <w:tcPr>
            <w:tcW w:w="1815" w:type="dxa"/>
            <w:tcBorders>
              <w:top w:val="single" w:sz="12" w:space="0" w:color="1F497D"/>
              <w:left w:val="single" w:sz="12" w:space="0" w:color="1F497D"/>
              <w:bottom w:val="single" w:sz="12" w:space="0" w:color="1F497D"/>
            </w:tcBorders>
            <w:shd w:fill="auto" w:val="clear"/>
          </w:tcPr>
          <w:p>
            <w:pPr>
              <w:pStyle w:val="Normal"/>
              <w:rPr>
                <w:lang w:val="en-US"/>
              </w:rPr>
            </w:pPr>
            <w:r>
              <w:rPr>
                <w:lang w:val="en-US"/>
              </w:rPr>
              <w:t>a</w:t>
            </w:r>
            <w:r>
              <w:rPr/>
              <w:t xml:space="preserve">) = </w:t>
            </w:r>
            <w:r>
              <w:rPr>
                <w:lang w:val="en-US"/>
              </w:rPr>
              <w:t>b</w:t>
            </w:r>
            <w:r>
              <w:rPr/>
              <w:t>)+</w:t>
            </w:r>
            <w:r>
              <w:rPr>
                <w:lang w:val="en-US"/>
              </w:rPr>
              <w:t>c)+d)+e)</w:t>
            </w:r>
          </w:p>
        </w:tc>
        <w:tc>
          <w:tcPr>
            <w:tcW w:w="1890"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jc w:val="center"/>
              <w:rPr>
                <w:lang w:val="en-US"/>
              </w:rPr>
            </w:pPr>
            <w:r>
              <w:rPr>
                <w:lang w:val="en-US"/>
              </w:rPr>
              <w:t>b)</w:t>
            </w:r>
          </w:p>
        </w:tc>
        <w:tc>
          <w:tcPr>
            <w:tcW w:w="2055"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jc w:val="center"/>
              <w:rPr>
                <w:lang w:val="en-US"/>
              </w:rPr>
            </w:pPr>
            <w:r>
              <w:rPr>
                <w:lang w:val="en-US"/>
              </w:rPr>
              <w:t>c)</w:t>
            </w:r>
          </w:p>
        </w:tc>
        <w:tc>
          <w:tcPr>
            <w:tcW w:w="2010"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jc w:val="center"/>
              <w:rPr>
                <w:lang w:val="en-US"/>
              </w:rPr>
            </w:pPr>
            <w:r>
              <w:rPr>
                <w:lang w:val="en-US"/>
              </w:rPr>
              <w:t>d)</w:t>
            </w:r>
          </w:p>
        </w:tc>
        <w:tc>
          <w:tcPr>
            <w:tcW w:w="2025" w:type="dxa"/>
            <w:tcBorders>
              <w:top w:val="single" w:sz="12" w:space="0" w:color="1F497D"/>
              <w:left w:val="single" w:sz="12" w:space="0" w:color="1F497D"/>
              <w:bottom w:val="single" w:sz="12" w:space="0" w:color="1F497D"/>
              <w:right w:val="single" w:sz="12" w:space="0" w:color="1F497D"/>
            </w:tcBorders>
            <w:shd w:fill="auto" w:val="clear"/>
          </w:tcPr>
          <w:p>
            <w:pPr>
              <w:pStyle w:val="Normal"/>
              <w:suppressAutoHyphens w:val="false"/>
              <w:spacing w:lineRule="auto" w:line="240"/>
              <w:jc w:val="center"/>
              <w:rPr>
                <w:lang w:val="en-US"/>
              </w:rPr>
            </w:pPr>
            <w:r>
              <w:rPr>
                <w:lang w:val="en-US"/>
              </w:rPr>
              <w:t>e)</w:t>
            </w:r>
          </w:p>
        </w:tc>
      </w:tr>
      <w:tr>
        <w:trPr>
          <w:trHeight w:val="420" w:hRule="atLeast"/>
        </w:trPr>
        <w:tc>
          <w:tcPr>
            <w:tcW w:w="1815" w:type="dxa"/>
            <w:tcBorders>
              <w:top w:val="single" w:sz="12" w:space="0" w:color="1F497D"/>
              <w:left w:val="single" w:sz="12" w:space="0" w:color="1F497D"/>
              <w:bottom w:val="single" w:sz="12" w:space="0" w:color="1F497D"/>
            </w:tcBorders>
            <w:shd w:fill="auto" w:val="clear"/>
          </w:tcPr>
          <w:p>
            <w:pPr>
              <w:pStyle w:val="Normal"/>
              <w:jc w:val="right"/>
              <w:rPr/>
            </w:pPr>
            <w:r>
              <w:rPr/>
              <w:t>67 071 840лв.</w:t>
            </w:r>
          </w:p>
        </w:tc>
        <w:tc>
          <w:tcPr>
            <w:tcW w:w="1890"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jc w:val="right"/>
              <w:rPr/>
            </w:pPr>
            <w:r>
              <w:rPr/>
              <w:t>47 598 537лв.</w:t>
            </w:r>
          </w:p>
        </w:tc>
        <w:tc>
          <w:tcPr>
            <w:tcW w:w="2055" w:type="dxa"/>
            <w:tcBorders>
              <w:top w:val="single" w:sz="12" w:space="0" w:color="1F497D"/>
              <w:left w:val="single" w:sz="12" w:space="0" w:color="1F497D"/>
              <w:bottom w:val="single" w:sz="12" w:space="0" w:color="1F497D"/>
            </w:tcBorders>
            <w:shd w:fill="auto" w:val="clear"/>
          </w:tcPr>
          <w:p>
            <w:pPr>
              <w:pStyle w:val="Normal"/>
              <w:suppressAutoHyphens w:val="false"/>
              <w:spacing w:lineRule="auto" w:line="240"/>
              <w:jc w:val="right"/>
              <w:rPr/>
            </w:pPr>
            <w:r>
              <w:rPr/>
              <w:t>8 399 742лв.</w:t>
            </w:r>
          </w:p>
        </w:tc>
        <w:tc>
          <w:tcPr>
            <w:tcW w:w="2010" w:type="dxa"/>
            <w:tcBorders>
              <w:top w:val="single" w:sz="12" w:space="0" w:color="1F497D"/>
              <w:left w:val="single" w:sz="12" w:space="0" w:color="1F497D"/>
              <w:bottom w:val="single" w:sz="12" w:space="0" w:color="1F497D"/>
            </w:tcBorders>
            <w:shd w:fill="auto" w:val="clear"/>
          </w:tcPr>
          <w:p>
            <w:pPr>
              <w:pStyle w:val="Normal"/>
              <w:suppressAutoHyphens w:val="false"/>
              <w:snapToGrid w:val="false"/>
              <w:spacing w:lineRule="auto" w:line="240"/>
              <w:rPr/>
            </w:pPr>
            <w:r>
              <w:rPr/>
            </w:r>
          </w:p>
        </w:tc>
        <w:tc>
          <w:tcPr>
            <w:tcW w:w="2025" w:type="dxa"/>
            <w:tcBorders>
              <w:top w:val="single" w:sz="12" w:space="0" w:color="1F497D"/>
              <w:left w:val="single" w:sz="12" w:space="0" w:color="1F497D"/>
              <w:bottom w:val="single" w:sz="12" w:space="0" w:color="1F497D"/>
              <w:right w:val="single" w:sz="12" w:space="0" w:color="1F497D"/>
            </w:tcBorders>
            <w:shd w:fill="auto" w:val="clear"/>
          </w:tcPr>
          <w:p>
            <w:pPr>
              <w:pStyle w:val="Normal"/>
              <w:suppressAutoHyphens w:val="false"/>
              <w:spacing w:lineRule="auto" w:line="240"/>
              <w:jc w:val="right"/>
              <w:rPr/>
            </w:pPr>
            <w:r>
              <w:rPr/>
              <w:t>11 073 561лв.</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numPr>
          <w:ilvl w:val="0"/>
          <w:numId w:val="4"/>
        </w:numPr>
        <w:rPr>
          <w:b/>
          <w:b/>
          <w:i/>
          <w:i/>
        </w:rPr>
      </w:pPr>
      <w:r>
        <w:rPr>
          <w:b/>
          <w:i/>
        </w:rPr>
        <w:t>Бюджет</w:t>
      </w:r>
    </w:p>
    <w:p>
      <w:pPr>
        <w:pStyle w:val="Normal"/>
        <w:rPr/>
      </w:pPr>
      <w:r>
        <w:rPr/>
      </w:r>
      <w:r>
        <mc:AlternateContent>
          <mc:Choice Requires="wps">
            <w:drawing>
              <wp:anchor behindDoc="0" distT="0" distB="0" distL="89535" distR="89535" simplePos="0" locked="0" layoutInCell="1" allowOverlap="1" relativeHeight="6">
                <wp:simplePos x="0" y="0"/>
                <wp:positionH relativeFrom="column">
                  <wp:posOffset>-8890</wp:posOffset>
                </wp:positionH>
                <wp:positionV relativeFrom="paragraph">
                  <wp:posOffset>467360</wp:posOffset>
                </wp:positionV>
                <wp:extent cx="5591175" cy="2790825"/>
                <wp:effectExtent l="0" t="0" r="0" b="0"/>
                <wp:wrapSquare wrapText="bothSides"/>
                <wp:docPr id="6" name="Frame1"/>
                <a:graphic xmlns:a="http://schemas.openxmlformats.org/drawingml/2006/main">
                  <a:graphicData uri="http://schemas.microsoft.com/office/word/2010/wordprocessingShape">
                    <wps:wsp>
                      <wps:cNvSpPr txBox="1"/>
                      <wps:spPr>
                        <a:xfrm>
                          <a:off x="0" y="0"/>
                          <a:ext cx="5591175" cy="2790825"/>
                        </a:xfrm>
                        <a:prstGeom prst="rect"/>
                        <a:solidFill>
                          <a:srgbClr val="FFFFFF">
                            <a:alpha val="0"/>
                          </a:srgbClr>
                        </a:solidFill>
                      </wps:spPr>
                      <wps:txbx>
                        <w:txbxContent>
                          <w:tbl>
                            <w:tblPr>
                              <w:tblW w:w="8805" w:type="dxa"/>
                              <w:jc w:val="left"/>
                              <w:tblInd w:w="0" w:type="dxa"/>
                              <w:tblCellMar>
                                <w:top w:w="0" w:type="dxa"/>
                                <w:left w:w="70" w:type="dxa"/>
                                <w:bottom w:w="0" w:type="dxa"/>
                                <w:right w:w="70" w:type="dxa"/>
                              </w:tblCellMar>
                            </w:tblPr>
                            <w:tblGrid>
                              <w:gridCol w:w="6270"/>
                              <w:gridCol w:w="2535"/>
                            </w:tblGrid>
                            <w:tr>
                              <w:trPr>
                                <w:trHeight w:val="780" w:hRule="atLeast"/>
                              </w:trPr>
                              <w:tc>
                                <w:tcPr>
                                  <w:tcW w:w="6270" w:type="dxa"/>
                                  <w:tcBorders>
                                    <w:top w:val="single" w:sz="12" w:space="0" w:color="1F497D"/>
                                    <w:left w:val="single" w:sz="12" w:space="0" w:color="1F497D"/>
                                    <w:bottom w:val="single" w:sz="12" w:space="0" w:color="1F497D"/>
                                  </w:tcBorders>
                                  <w:shd w:fill="auto" w:val="clear"/>
                                </w:tcPr>
                                <w:p>
                                  <w:pPr>
                                    <w:pStyle w:val="Normal"/>
                                    <w:snapToGrid w:val="false"/>
                                    <w:ind w:left="70" w:hanging="0"/>
                                    <w:rPr/>
                                  </w:pPr>
                                  <w:r>
                                    <w:rPr/>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ind w:left="70" w:hanging="0"/>
                                    <w:jc w:val="center"/>
                                    <w:rPr/>
                                  </w:pPr>
                                  <w:r>
                                    <w:rPr/>
                                    <w:t>Общо разходи по проекта</w:t>
                                  </w:r>
                                </w:p>
                              </w:tc>
                            </w:tr>
                            <w:tr>
                              <w:trPr>
                                <w:trHeight w:val="37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Разходи за планиране и проектиране</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2 610 000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Закупуване на земи</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539 000 евро</w:t>
                                  </w:r>
                                </w:p>
                              </w:tc>
                            </w:tr>
                            <w:tr>
                              <w:trPr>
                                <w:trHeight w:val="37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Строително-монтажни работи</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25 733 000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Машини и съоръжения</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24 624 600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Техническа помощ</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1 079 200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Публичност</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225 000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Надзор по време на строителството</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1 100 000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Междинна сума</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55 950 800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ДДС (20%)</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11 121 040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ind w:left="284" w:hanging="0"/>
                                    <w:jc w:val="right"/>
                                    <w:rPr>
                                      <w:b/>
                                      <w:b/>
                                    </w:rPr>
                                  </w:pPr>
                                  <w:r>
                                    <w:rPr>
                                      <w:b/>
                                    </w:rPr>
                                    <w:t>Общо</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b/>
                                      <w:b/>
                                    </w:rPr>
                                  </w:pPr>
                                  <w:r>
                                    <w:rPr>
                                      <w:b/>
                                    </w:rPr>
                                    <w:t>67 071 840 евро</w:t>
                                  </w:r>
                                </w:p>
                              </w:tc>
                            </w:tr>
                          </w:tbl>
                        </w:txbxContent>
                      </wps:txbx>
                      <wps:bodyPr anchor="t" lIns="0" tIns="0" rIns="0" bIns="0">
                        <a:noAutofit/>
                      </wps:bodyPr>
                    </wps:wsp>
                  </a:graphicData>
                </a:graphic>
              </wp:anchor>
            </w:drawing>
          </mc:Choice>
          <mc:Fallback>
            <w:pict>
              <v:rect fillcolor="#FFFFFF" style="position:absolute;rotation:0;width:440.25pt;height:219.75pt;mso-wrap-distance-left:7.05pt;mso-wrap-distance-right:7.05pt;mso-wrap-distance-top:0pt;mso-wrap-distance-bottom:0pt;margin-top:36.8pt;mso-position-vertical-relative:text;margin-left:-0.7pt;mso-position-horizontal-relative:text">
                <v:fill opacity="0f"/>
                <v:textbox>
                  <w:txbxContent>
                    <w:tbl>
                      <w:tblPr>
                        <w:tblW w:w="8805" w:type="dxa"/>
                        <w:jc w:val="left"/>
                        <w:tblInd w:w="0" w:type="dxa"/>
                        <w:tblCellMar>
                          <w:top w:w="0" w:type="dxa"/>
                          <w:left w:w="70" w:type="dxa"/>
                          <w:bottom w:w="0" w:type="dxa"/>
                          <w:right w:w="70" w:type="dxa"/>
                        </w:tblCellMar>
                      </w:tblPr>
                      <w:tblGrid>
                        <w:gridCol w:w="6270"/>
                        <w:gridCol w:w="2535"/>
                      </w:tblGrid>
                      <w:tr>
                        <w:trPr>
                          <w:trHeight w:val="780" w:hRule="atLeast"/>
                        </w:trPr>
                        <w:tc>
                          <w:tcPr>
                            <w:tcW w:w="6270" w:type="dxa"/>
                            <w:tcBorders>
                              <w:top w:val="single" w:sz="12" w:space="0" w:color="1F497D"/>
                              <w:left w:val="single" w:sz="12" w:space="0" w:color="1F497D"/>
                              <w:bottom w:val="single" w:sz="12" w:space="0" w:color="1F497D"/>
                            </w:tcBorders>
                            <w:shd w:fill="auto" w:val="clear"/>
                          </w:tcPr>
                          <w:p>
                            <w:pPr>
                              <w:pStyle w:val="Normal"/>
                              <w:snapToGrid w:val="false"/>
                              <w:ind w:left="70" w:hanging="0"/>
                              <w:rPr/>
                            </w:pPr>
                            <w:r>
                              <w:rPr/>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ind w:left="70" w:hanging="0"/>
                              <w:jc w:val="center"/>
                              <w:rPr/>
                            </w:pPr>
                            <w:r>
                              <w:rPr/>
                              <w:t>Общо разходи по проекта</w:t>
                            </w:r>
                          </w:p>
                        </w:tc>
                      </w:tr>
                      <w:tr>
                        <w:trPr>
                          <w:trHeight w:val="37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Разходи за планиране и проектиране</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2 610 000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Закупуване на земи</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539 000 евро</w:t>
                            </w:r>
                          </w:p>
                        </w:tc>
                      </w:tr>
                      <w:tr>
                        <w:trPr>
                          <w:trHeight w:val="37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Строително-монтажни работи</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25 733 000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Машини и съоръжения</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24 624 600 евро</w:t>
                            </w:r>
                          </w:p>
                        </w:tc>
                      </w:tr>
                      <w:tr>
                        <w:trPr>
                          <w:trHeight w:val="345"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Техническа помощ</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1 079 200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Публичност</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225 000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Надзор по време на строителството</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1 100 000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Междинна сума</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55 950 800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numPr>
                                <w:ilvl w:val="0"/>
                                <w:numId w:val="2"/>
                              </w:numPr>
                              <w:rPr/>
                            </w:pPr>
                            <w:r>
                              <w:rPr/>
                              <w:t>ДДС (20%)</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pPr>
                            <w:r>
                              <w:rPr/>
                              <w:t>11 121 040 евро</w:t>
                            </w:r>
                          </w:p>
                        </w:tc>
                      </w:tr>
                      <w:tr>
                        <w:trPr>
                          <w:trHeight w:val="360" w:hRule="atLeast"/>
                        </w:trPr>
                        <w:tc>
                          <w:tcPr>
                            <w:tcW w:w="6270" w:type="dxa"/>
                            <w:tcBorders>
                              <w:top w:val="single" w:sz="12" w:space="0" w:color="1F497D"/>
                              <w:left w:val="single" w:sz="12" w:space="0" w:color="1F497D"/>
                              <w:bottom w:val="single" w:sz="12" w:space="0" w:color="1F497D"/>
                            </w:tcBorders>
                            <w:shd w:fill="auto" w:val="clear"/>
                          </w:tcPr>
                          <w:p>
                            <w:pPr>
                              <w:pStyle w:val="Normal"/>
                              <w:ind w:left="284" w:hanging="0"/>
                              <w:jc w:val="right"/>
                              <w:rPr>
                                <w:b/>
                                <w:b/>
                              </w:rPr>
                            </w:pPr>
                            <w:r>
                              <w:rPr>
                                <w:b/>
                              </w:rPr>
                              <w:t>Общо</w:t>
                            </w:r>
                          </w:p>
                        </w:tc>
                        <w:tc>
                          <w:tcPr>
                            <w:tcW w:w="2535" w:type="dxa"/>
                            <w:tcBorders>
                              <w:top w:val="single" w:sz="12" w:space="0" w:color="1F497D"/>
                              <w:left w:val="single" w:sz="12" w:space="0" w:color="1F497D"/>
                              <w:bottom w:val="single" w:sz="12" w:space="0" w:color="1F497D"/>
                              <w:right w:val="single" w:sz="12" w:space="0" w:color="1F497D"/>
                            </w:tcBorders>
                            <w:shd w:fill="auto" w:val="clear"/>
                          </w:tcPr>
                          <w:p>
                            <w:pPr>
                              <w:pStyle w:val="Normal"/>
                              <w:jc w:val="right"/>
                              <w:rPr>
                                <w:b/>
                                <w:b/>
                              </w:rPr>
                            </w:pPr>
                            <w:r>
                              <w:rPr>
                                <w:b/>
                              </w:rPr>
                              <w:t>67 071 840 евро</w:t>
                            </w:r>
                          </w:p>
                        </w:tc>
                      </w:tr>
                    </w:tbl>
                  </w:txbxContent>
                </v:textbox>
                <w10:wrap type="square"/>
              </v:rect>
            </w:pict>
          </mc:Fallback>
        </mc:AlternateConten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numPr>
          <w:ilvl w:val="0"/>
          <w:numId w:val="4"/>
        </w:numPr>
        <w:rPr>
          <w:b/>
          <w:b/>
          <w:i/>
          <w:i/>
        </w:rPr>
      </w:pPr>
      <w:r>
        <w:rPr>
          <w:b/>
          <w:i/>
        </w:rPr>
        <w:t>Осигуряване на собствения принос на община Бургас</w:t>
      </w:r>
    </w:p>
    <w:p>
      <w:pPr>
        <w:pStyle w:val="Normal"/>
        <w:ind w:left="720" w:hanging="0"/>
        <w:rPr/>
      </w:pPr>
      <w:r>
        <w:rPr/>
      </w:r>
    </w:p>
    <w:p>
      <w:pPr>
        <w:pStyle w:val="Normal"/>
        <w:ind w:left="720" w:hanging="0"/>
        <w:rPr/>
      </w:pPr>
      <w:r>
        <w:rPr/>
      </w:r>
    </w:p>
    <w:tbl>
      <w:tblPr>
        <w:tblW w:w="8805" w:type="dxa"/>
        <w:jc w:val="left"/>
        <w:tblInd w:w="-39" w:type="dxa"/>
        <w:tblCellMar>
          <w:top w:w="0" w:type="dxa"/>
          <w:left w:w="70" w:type="dxa"/>
          <w:bottom w:w="0" w:type="dxa"/>
          <w:right w:w="70" w:type="dxa"/>
        </w:tblCellMar>
      </w:tblPr>
      <w:tblGrid>
        <w:gridCol w:w="4560"/>
        <w:gridCol w:w="4245"/>
      </w:tblGrid>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b/>
                <w:b/>
                <w:i/>
                <w:i/>
                <w:color w:val="1F497D"/>
              </w:rPr>
            </w:pPr>
            <w:r>
              <w:rPr>
                <w:b/>
                <w:i/>
                <w:color w:val="1F497D"/>
              </w:rPr>
              <w:t>Параметри на заема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snapToGrid w:val="false"/>
              <w:ind w:left="744" w:hanging="0"/>
              <w:rPr>
                <w:b/>
                <w:b/>
                <w:i/>
                <w:i/>
                <w:color w:val="1F497D"/>
              </w:rPr>
            </w:pPr>
            <w:r>
              <w:rPr>
                <w:b/>
                <w:i/>
                <w:color w:val="1F497D"/>
              </w:rPr>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Размер на заема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pPr>
            <w:r>
              <w:rPr>
                <w:lang w:val="en-US"/>
              </w:rPr>
              <w:t xml:space="preserve">11 080 000 </w:t>
            </w:r>
            <w:r>
              <w:rPr/>
              <w:t>евро</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Срок на погасяване</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pPr>
            <w:r>
              <w:rPr/>
              <w:t>13 години</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Гратисен период</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pPr>
            <w:r>
              <w:rPr/>
              <w:t>3 години</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Лихвен процент</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lang w:val="en-US"/>
              </w:rPr>
            </w:pPr>
            <w:r>
              <w:rPr/>
              <w:t xml:space="preserve">2,7% над шестмесечен </w:t>
            </w:r>
            <w:r>
              <w:rPr>
                <w:lang w:val="en-US"/>
              </w:rPr>
              <w:t>EURIBOR</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Наказателна лихва при просрочие</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lang w:val="en-US"/>
              </w:rPr>
            </w:pPr>
            <w:r>
              <w:rPr>
                <w:lang w:val="en-US"/>
              </w:rPr>
              <w:t xml:space="preserve">2,0% </w:t>
            </w:r>
            <w:r>
              <w:rPr/>
              <w:t>годишно над лихвата по договора</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Такса ангажимент</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pPr>
            <w:r>
              <w:rPr/>
              <w:t>0,5% годишно върху неотпуснатите суми по дълга</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Такса за прекратяване</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29" w:hanging="0"/>
              <w:rPr/>
            </w:pPr>
            <w:r>
              <w:rPr/>
              <w:t>1% от частта на главницата , която се прекратява</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Такса за предсрочно погасяване</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numPr>
                <w:ilvl w:val="0"/>
                <w:numId w:val="3"/>
              </w:numPr>
              <w:ind w:left="170" w:hanging="0"/>
              <w:rPr/>
            </w:pPr>
            <w:r>
              <w:rPr/>
              <w:t>1% от главницата по дълга, който се предплаща до 4-тата година от подписването на Договора за поемане на дълг;</w:t>
            </w:r>
          </w:p>
          <w:p>
            <w:pPr>
              <w:pStyle w:val="Normal"/>
              <w:numPr>
                <w:ilvl w:val="0"/>
                <w:numId w:val="3"/>
              </w:numPr>
              <w:ind w:left="170" w:hanging="0"/>
              <w:rPr/>
            </w:pPr>
            <w:r>
              <w:rPr/>
              <w:t>0,5% след навършване на 4-тата година и при навършване на 6-тата година;</w:t>
            </w:r>
          </w:p>
          <w:p>
            <w:pPr>
              <w:pStyle w:val="Normal"/>
              <w:numPr>
                <w:ilvl w:val="0"/>
                <w:numId w:val="3"/>
              </w:numPr>
              <w:ind w:left="170" w:hanging="0"/>
              <w:rPr/>
            </w:pPr>
            <w:r>
              <w:rPr/>
              <w:t>Без такса за предплащане след навършване на 6-тата година от подписване на договора</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Еднократна комисионна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rPr/>
            </w:pPr>
            <w:r>
              <w:rPr/>
              <w:t>1,0% от стойността на главницата</w:t>
            </w:r>
          </w:p>
        </w:tc>
      </w:tr>
      <w:tr>
        <w:trPr>
          <w:trHeight w:val="330" w:hRule="atLeast"/>
        </w:trPr>
        <w:tc>
          <w:tcPr>
            <w:tcW w:w="4560" w:type="dxa"/>
            <w:tcBorders>
              <w:top w:val="single" w:sz="12" w:space="0" w:color="1F497D"/>
              <w:left w:val="single" w:sz="12" w:space="0" w:color="1F497D"/>
              <w:bottom w:val="single" w:sz="12" w:space="0" w:color="1F497D"/>
            </w:tcBorders>
            <w:shd w:fill="FFFFFF" w:val="clear"/>
          </w:tcPr>
          <w:p>
            <w:pPr>
              <w:pStyle w:val="Normal"/>
              <w:rPr/>
            </w:pPr>
            <w:r>
              <w:rPr/>
              <w:t> </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Сума -  хил.лв.</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База бюджет 2011</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70 143</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Банкови кредити</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snapToGrid w:val="false"/>
              <w:ind w:left="170" w:hanging="0"/>
              <w:jc w:val="center"/>
              <w:rPr/>
            </w:pPr>
            <w:r>
              <w:rPr/>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ОББ - годишна вноска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2 526</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Общинска банка - годишна вноска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1 167</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ЕБВР - годишна вноска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2 200</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Обща вноска за год. Обслужване на кредити</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6 393</w:t>
            </w:r>
          </w:p>
        </w:tc>
      </w:tr>
    </w:tbl>
    <w:p>
      <w:pPr>
        <w:pStyle w:val="Normal"/>
        <w:ind w:left="720" w:hanging="0"/>
        <w:rPr/>
      </w:pPr>
      <w:r>
        <w:rPr/>
      </w:r>
    </w:p>
    <w:p>
      <w:pPr>
        <w:pStyle w:val="Normal"/>
        <w:ind w:left="720" w:hanging="0"/>
        <w:rPr/>
      </w:pPr>
      <w:r>
        <w:rPr/>
      </w:r>
    </w:p>
    <w:p>
      <w:pPr>
        <w:pStyle w:val="Normal"/>
        <w:ind w:left="720" w:hanging="0"/>
        <w:rPr/>
      </w:pPr>
      <w:r>
        <w:rPr/>
      </w:r>
    </w:p>
    <w:p>
      <w:pPr>
        <w:pStyle w:val="Normal"/>
        <w:rPr>
          <w:lang w:val="en-US" w:eastAsia="en-US"/>
        </w:rPr>
      </w:pPr>
      <w:r>
        <w:rPr>
          <w:lang w:val="en-US" w:eastAsia="en-US"/>
        </w:rPr>
        <w:drawing>
          <wp:inline distT="0" distB="0" distL="0" distR="0">
            <wp:extent cx="5542915" cy="3267710"/>
            <wp:effectExtent l="0" t="0" r="0" b="0"/>
            <wp:docPr id="7" name="Chart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hart 1" descr=""/>
                    <pic:cNvPicPr>
                      <a:picLocks noChangeAspect="1" noChangeArrowheads="1"/>
                    </pic:cNvPicPr>
                  </pic:nvPicPr>
                  <pic:blipFill>
                    <a:blip r:embed="rId9"/>
                    <a:srcRect l="-8" t="-11" r="-8" b="-88"/>
                    <a:stretch>
                      <a:fillRect/>
                    </a:stretch>
                  </pic:blipFill>
                  <pic:spPr bwMode="auto">
                    <a:xfrm>
                      <a:off x="0" y="0"/>
                      <a:ext cx="5542915" cy="3267710"/>
                    </a:xfrm>
                    <a:prstGeom prst="rect">
                      <a:avLst/>
                    </a:prstGeom>
                  </pic:spPr>
                </pic:pic>
              </a:graphicData>
            </a:graphic>
          </wp:inline>
        </w:drawing>
      </w:r>
    </w:p>
    <w:p>
      <w:pPr>
        <w:pStyle w:val="Normal"/>
        <w:rPr/>
      </w:pPr>
      <w:r>
        <w:rPr/>
      </w:r>
    </w:p>
    <w:p>
      <w:pPr>
        <w:pStyle w:val="Normal"/>
        <w:rPr/>
      </w:pPr>
      <w:r>
        <w:rPr/>
      </w:r>
    </w:p>
    <w:p>
      <w:pPr>
        <w:pStyle w:val="Normal"/>
        <w:rPr>
          <w:lang w:val="en-US" w:eastAsia="en-US"/>
        </w:rPr>
      </w:pPr>
      <w:r>
        <w:rPr>
          <w:lang w:val="en-US" w:eastAsia="en-US"/>
        </w:rPr>
        <w:drawing>
          <wp:inline distT="0" distB="0" distL="0" distR="0">
            <wp:extent cx="5544820" cy="2752090"/>
            <wp:effectExtent l="0" t="0" r="0" b="0"/>
            <wp:docPr id="8" name="Chart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hart 2" descr=""/>
                    <pic:cNvPicPr>
                      <a:picLocks noChangeAspect="1" noChangeArrowheads="1"/>
                    </pic:cNvPicPr>
                  </pic:nvPicPr>
                  <pic:blipFill>
                    <a:blip r:embed="rId10"/>
                    <a:srcRect l="-7" t="-13" r="-7" b="-13"/>
                    <a:stretch>
                      <a:fillRect/>
                    </a:stretch>
                  </pic:blipFill>
                  <pic:spPr bwMode="auto">
                    <a:xfrm>
                      <a:off x="0" y="0"/>
                      <a:ext cx="5544820" cy="2752090"/>
                    </a:xfrm>
                    <a:prstGeom prst="rect">
                      <a:avLst/>
                    </a:prstGeom>
                  </pic:spPr>
                </pic:pic>
              </a:graphicData>
            </a:graphic>
          </wp:inline>
        </w:drawing>
      </w:r>
    </w:p>
    <w:tbl>
      <w:tblPr>
        <w:tblW w:w="8805" w:type="dxa"/>
        <w:jc w:val="left"/>
        <w:tblInd w:w="-39" w:type="dxa"/>
        <w:tblCellMar>
          <w:top w:w="0" w:type="dxa"/>
          <w:left w:w="70" w:type="dxa"/>
          <w:bottom w:w="0" w:type="dxa"/>
          <w:right w:w="70" w:type="dxa"/>
        </w:tblCellMar>
      </w:tblPr>
      <w:tblGrid>
        <w:gridCol w:w="4560"/>
        <w:gridCol w:w="4245"/>
      </w:tblGrid>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 </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Сума -  хил.лв.</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База бюджет 2007</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45 310</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Банков кредит</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8 000</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ДРА</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2 720</w:t>
            </w:r>
          </w:p>
        </w:tc>
      </w:tr>
      <w:tr>
        <w:trPr>
          <w:trHeight w:val="330" w:hRule="atLeast"/>
        </w:trPr>
        <w:tc>
          <w:tcPr>
            <w:tcW w:w="4560" w:type="dxa"/>
            <w:tcBorders>
              <w:top w:val="single" w:sz="12" w:space="0" w:color="1F497D"/>
              <w:left w:val="single" w:sz="12" w:space="0" w:color="1F497D"/>
              <w:bottom w:val="single" w:sz="12" w:space="0" w:color="1F497D"/>
            </w:tcBorders>
            <w:shd w:fill="auto" w:val="clear"/>
          </w:tcPr>
          <w:p>
            <w:pPr>
              <w:pStyle w:val="Normal"/>
              <w:rPr/>
            </w:pPr>
            <w:r>
              <w:rPr/>
              <w:t>Обща вноска за год. Обслужване на кредити</w:t>
            </w:r>
          </w:p>
        </w:tc>
        <w:tc>
          <w:tcPr>
            <w:tcW w:w="4245" w:type="dxa"/>
            <w:tcBorders>
              <w:top w:val="single" w:sz="12" w:space="0" w:color="1F497D"/>
              <w:left w:val="single" w:sz="12" w:space="0" w:color="1F497D"/>
              <w:bottom w:val="single" w:sz="12" w:space="0" w:color="1F497D"/>
              <w:right w:val="single" w:sz="12" w:space="0" w:color="1F497D"/>
            </w:tcBorders>
            <w:shd w:fill="auto" w:val="clear"/>
          </w:tcPr>
          <w:p>
            <w:pPr>
              <w:pStyle w:val="Normal"/>
              <w:ind w:left="170" w:hanging="0"/>
              <w:jc w:val="center"/>
              <w:rPr/>
            </w:pPr>
            <w:r>
              <w:rPr/>
              <w:t>10 730</w:t>
            </w:r>
          </w:p>
        </w:tc>
      </w:tr>
    </w:tbl>
    <w:p>
      <w:pPr>
        <w:pStyle w:val="Normal"/>
        <w:rPr/>
      </w:pPr>
      <w:r>
        <w:rPr/>
      </w:r>
    </w:p>
    <w:p>
      <w:pPr>
        <w:pStyle w:val="Normal"/>
        <w:rPr/>
      </w:pPr>
      <w:r>
        <w:rPr/>
      </w:r>
    </w:p>
    <w:p>
      <w:pPr>
        <w:pStyle w:val="Normal"/>
        <w:rPr/>
      </w:pPr>
      <w:r>
        <w:rPr/>
      </w:r>
    </w:p>
    <w:p>
      <w:pPr>
        <w:pStyle w:val="Normal"/>
        <w:rPr>
          <w:lang w:val="en-US" w:eastAsia="en-US"/>
        </w:rPr>
      </w:pPr>
      <w:r>
        <w:rPr>
          <w:lang w:val="en-US" w:eastAsia="en-US"/>
        </w:rPr>
        <w:drawing>
          <wp:inline distT="0" distB="0" distL="0" distR="0">
            <wp:extent cx="5551170" cy="3342640"/>
            <wp:effectExtent l="0" t="0" r="0" b="0"/>
            <wp:docPr id="9" name="Chart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art 3" descr=""/>
                    <pic:cNvPicPr>
                      <a:picLocks noChangeAspect="1" noChangeArrowheads="1"/>
                    </pic:cNvPicPr>
                  </pic:nvPicPr>
                  <pic:blipFill>
                    <a:blip r:embed="rId11"/>
                    <a:srcRect l="-8" t="-11" r="-8" b="-88"/>
                    <a:stretch>
                      <a:fillRect/>
                    </a:stretch>
                  </pic:blipFill>
                  <pic:spPr bwMode="auto">
                    <a:xfrm>
                      <a:off x="0" y="0"/>
                      <a:ext cx="5551170" cy="3342640"/>
                    </a:xfrm>
                    <a:prstGeom prst="rect">
                      <a:avLst/>
                    </a:prstGeom>
                  </pic:spPr>
                </pic:pic>
              </a:graphicData>
            </a:graphic>
          </wp:inline>
        </w:drawing>
      </w:r>
    </w:p>
    <w:p>
      <w:pPr>
        <w:pStyle w:val="Normal"/>
        <w:rPr/>
      </w:pPr>
      <w:r>
        <w:rPr/>
      </w:r>
    </w:p>
    <w:p>
      <w:pPr>
        <w:pStyle w:val="Normal"/>
        <w:rPr>
          <w:lang w:val="en-US" w:eastAsia="en-US"/>
        </w:rPr>
      </w:pPr>
      <w:r>
        <w:rPr>
          <w:lang w:val="en-US" w:eastAsia="en-US"/>
        </w:rPr>
        <w:drawing>
          <wp:inline distT="0" distB="0" distL="0" distR="0">
            <wp:extent cx="5544820" cy="2790190"/>
            <wp:effectExtent l="0" t="0" r="0" b="0"/>
            <wp:docPr id="10" name="Chart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art 4" descr=""/>
                    <pic:cNvPicPr>
                      <a:picLocks noChangeAspect="1" noChangeArrowheads="1"/>
                    </pic:cNvPicPr>
                  </pic:nvPicPr>
                  <pic:blipFill>
                    <a:blip r:embed="rId12"/>
                    <a:srcRect l="-7" t="-13" r="-7" b="-13"/>
                    <a:stretch>
                      <a:fillRect/>
                    </a:stretch>
                  </pic:blipFill>
                  <pic:spPr bwMode="auto">
                    <a:xfrm>
                      <a:off x="0" y="0"/>
                      <a:ext cx="5544820" cy="2790190"/>
                    </a:xfrm>
                    <a:prstGeom prst="rect">
                      <a:avLst/>
                    </a:prstGeom>
                  </pic:spPr>
                </pic:pic>
              </a:graphicData>
            </a:graphic>
          </wp:inline>
        </w:drawing>
      </w:r>
    </w:p>
    <w:p>
      <w:pPr>
        <w:pStyle w:val="Normal"/>
        <w:rPr/>
      </w:pPr>
      <w:r>
        <w:rPr/>
      </w:r>
    </w:p>
    <w:p>
      <w:pPr>
        <w:pStyle w:val="Normal"/>
        <w:rPr/>
      </w:pPr>
      <w:r>
        <w:rPr/>
      </w:r>
    </w:p>
    <w:p>
      <w:pPr>
        <w:pStyle w:val="Normal"/>
        <w:rPr/>
      </w:pPr>
      <w:r>
        <w:rPr/>
      </w:r>
    </w:p>
    <w:p>
      <w:pPr>
        <w:pStyle w:val="Heading1"/>
        <w:rPr>
          <w:rFonts w:ascii="Times New Roman" w:hAnsi="Times New Roman" w:cs="Times New Roman"/>
          <w:b w:val="false"/>
          <w:b w:val="false"/>
          <w:i/>
          <w:i/>
          <w:color w:val="000000"/>
          <w:sz w:val="40"/>
          <w:szCs w:val="40"/>
        </w:rPr>
      </w:pPr>
      <w:bookmarkStart w:id="9" w:name="__RefHeading___Toc346652117"/>
      <w:bookmarkEnd w:id="9"/>
      <w:r>
        <w:rPr>
          <w:rFonts w:eastAsia="Calibri" w:cs="Times New Roman" w:ascii="Times New Roman" w:hAnsi="Times New Roman"/>
          <w:b w:val="false"/>
          <w:i/>
          <w:color w:val="000000"/>
          <w:sz w:val="40"/>
          <w:szCs w:val="40"/>
        </w:rPr>
        <w:t>Заинтересовани страни от проекта</w:t>
      </w:r>
      <w:r>
        <w:rPr>
          <w:rStyle w:val="StrongEmphasis"/>
          <w:rFonts w:cs="Times New Roman" w:ascii="Times New Roman" w:hAnsi="Times New Roman"/>
          <w:b w:val="false"/>
          <w:i/>
          <w:color w:val="000000"/>
          <w:sz w:val="40"/>
          <w:szCs w:val="40"/>
        </w:rPr>
        <w:t>:</w:t>
      </w:r>
    </w:p>
    <w:p>
      <w:pPr>
        <w:pStyle w:val="Normal"/>
        <w:rPr>
          <w:rFonts w:ascii="Times New Roman" w:hAnsi="Times New Roman" w:cs="Times New Roman"/>
          <w:b/>
          <w:b/>
          <w:i/>
          <w:i/>
          <w:color w:val="000000"/>
          <w:sz w:val="40"/>
          <w:szCs w:val="40"/>
        </w:rPr>
      </w:pPr>
      <w:r>
        <w:rPr>
          <w:rFonts w:cs="Times New Roman"/>
          <w:b/>
          <w:i/>
          <w:color w:val="000000"/>
          <w:sz w:val="40"/>
          <w:szCs w:val="40"/>
        </w:rPr>
      </w:r>
    </w:p>
    <w:p>
      <w:pPr>
        <w:pStyle w:val="Normal"/>
        <w:rPr/>
      </w:pPr>
      <w:r>
        <w:rPr/>
      </w:r>
    </w:p>
    <w:p>
      <w:pPr>
        <w:pStyle w:val="Normal"/>
        <w:rPr/>
      </w:pPr>
      <w:r>
        <w:rPr>
          <w:rStyle w:val="Heading1Char"/>
          <w:rFonts w:eastAsia="Arial" w:cs="Times New Roman"/>
          <w:b w:val="false"/>
          <w:i/>
          <w:color w:val="000000"/>
          <w:sz w:val="40"/>
          <w:szCs w:val="40"/>
        </w:rPr>
        <w:drawing>
          <wp:inline distT="0" distB="0" distL="0" distR="0">
            <wp:extent cx="6206490" cy="4542155"/>
            <wp:effectExtent l="0" t="0" r="0" b="0"/>
            <wp:docPr id="11"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5" descr=""/>
                    <pic:cNvPicPr>
                      <a:picLocks noChangeAspect="1" noChangeArrowheads="1"/>
                    </pic:cNvPicPr>
                  </pic:nvPicPr>
                  <pic:blipFill>
                    <a:blip r:embed="rId13"/>
                    <a:srcRect l="-3" t="-4" r="-3" b="-4"/>
                    <a:stretch>
                      <a:fillRect/>
                    </a:stretch>
                  </pic:blipFill>
                  <pic:spPr bwMode="auto">
                    <a:xfrm>
                      <a:off x="0" y="0"/>
                      <a:ext cx="6206490" cy="4542155"/>
                    </a:xfrm>
                    <a:prstGeom prst="rect">
                      <a:avLst/>
                    </a:prstGeom>
                  </pic:spPr>
                </pic:pic>
              </a:graphicData>
            </a:graphic>
          </wp:inline>
        </w:drawing>
      </w:r>
    </w:p>
    <w:p>
      <w:pPr>
        <w:pStyle w:val="Normal"/>
        <w:rPr/>
      </w:pPr>
      <w:r>
        <w:rPr/>
        <w:drawing>
          <wp:inline distT="0" distB="0" distL="0" distR="0">
            <wp:extent cx="6202045" cy="2849245"/>
            <wp:effectExtent l="0" t="0" r="0" b="0"/>
            <wp:docPr id="12"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 descr=""/>
                    <pic:cNvPicPr>
                      <a:picLocks noChangeAspect="1" noChangeArrowheads="1"/>
                    </pic:cNvPicPr>
                  </pic:nvPicPr>
                  <pic:blipFill>
                    <a:blip r:embed="rId14"/>
                    <a:srcRect l="-2" t="-5" r="-2" b="-5"/>
                    <a:stretch>
                      <a:fillRect/>
                    </a:stretch>
                  </pic:blipFill>
                  <pic:spPr bwMode="auto">
                    <a:xfrm>
                      <a:off x="0" y="0"/>
                      <a:ext cx="6202045" cy="2849245"/>
                    </a:xfrm>
                    <a:prstGeom prst="rect">
                      <a:avLst/>
                    </a:prstGeom>
                  </pic:spPr>
                </pic:pic>
              </a:graphicData>
            </a:graphic>
          </wp:inline>
        </w:drawing>
      </w:r>
    </w:p>
    <w:p>
      <w:pPr>
        <w:pStyle w:val="Normal"/>
        <w:rPr/>
      </w:pPr>
      <w:r>
        <w:rPr/>
      </w:r>
    </w:p>
    <w:p>
      <w:pPr>
        <w:pStyle w:val="Normal"/>
        <w:rPr/>
      </w:pPr>
      <w:r>
        <w:rPr/>
      </w:r>
    </w:p>
    <w:p>
      <w:pPr>
        <w:pStyle w:val="Normal"/>
        <w:rPr/>
      </w:pPr>
      <w:r>
        <w:rPr/>
      </w:r>
    </w:p>
    <w:p>
      <w:pPr>
        <w:pStyle w:val="Normal"/>
        <w:rPr/>
      </w:pPr>
      <w:r>
        <w:rPr/>
      </w:r>
    </w:p>
    <w:p>
      <w:pPr>
        <w:pStyle w:val="Normal"/>
        <w:rPr/>
      </w:pPr>
      <w:r>
        <w:rPr/>
        <w:drawing>
          <wp:inline distT="0" distB="0" distL="0" distR="0">
            <wp:extent cx="6202045" cy="4354830"/>
            <wp:effectExtent l="0" t="0" r="0" b="0"/>
            <wp:docPr id="13"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 descr=""/>
                    <pic:cNvPicPr>
                      <a:picLocks noChangeAspect="1" noChangeArrowheads="1"/>
                    </pic:cNvPicPr>
                  </pic:nvPicPr>
                  <pic:blipFill>
                    <a:blip r:embed="rId15"/>
                    <a:srcRect l="-2" t="-3" r="-2" b="-3"/>
                    <a:stretch>
                      <a:fillRect/>
                    </a:stretch>
                  </pic:blipFill>
                  <pic:spPr bwMode="auto">
                    <a:xfrm>
                      <a:off x="0" y="0"/>
                      <a:ext cx="6202045" cy="4354830"/>
                    </a:xfrm>
                    <a:prstGeom prst="rect">
                      <a:avLst/>
                    </a:prstGeom>
                  </pic:spPr>
                </pic:pic>
              </a:graphicData>
            </a:graphic>
          </wp:inline>
        </w:drawing>
      </w:r>
      <w:r>
        <w:rPr/>
        <w:drawing>
          <wp:inline distT="0" distB="0" distL="0" distR="0">
            <wp:extent cx="6202045" cy="3468370"/>
            <wp:effectExtent l="0" t="0" r="0" b="0"/>
            <wp:docPr id="14"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 descr=""/>
                    <pic:cNvPicPr>
                      <a:picLocks noChangeAspect="1" noChangeArrowheads="1"/>
                    </pic:cNvPicPr>
                  </pic:nvPicPr>
                  <pic:blipFill>
                    <a:blip r:embed="rId16"/>
                    <a:srcRect l="-2" t="-4" r="-2" b="-4"/>
                    <a:stretch>
                      <a:fillRect/>
                    </a:stretch>
                  </pic:blipFill>
                  <pic:spPr bwMode="auto">
                    <a:xfrm>
                      <a:off x="0" y="0"/>
                      <a:ext cx="6202045" cy="3468370"/>
                    </a:xfrm>
                    <a:prstGeom prst="rect">
                      <a:avLst/>
                    </a:prstGeom>
                  </pic:spPr>
                </pic:pic>
              </a:graphicData>
            </a:graphic>
          </wp:inline>
        </w:drawing>
      </w:r>
      <w:r>
        <w:rPr/>
        <w:drawing>
          <wp:inline distT="0" distB="0" distL="0" distR="0">
            <wp:extent cx="6204585" cy="2094865"/>
            <wp:effectExtent l="0" t="0" r="0" b="0"/>
            <wp:docPr id="15" name="Imag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9" descr=""/>
                    <pic:cNvPicPr>
                      <a:picLocks noChangeAspect="1" noChangeArrowheads="1"/>
                    </pic:cNvPicPr>
                  </pic:nvPicPr>
                  <pic:blipFill>
                    <a:blip r:embed="rId17"/>
                    <a:srcRect l="-2" t="-7" r="-2" b="-7"/>
                    <a:stretch>
                      <a:fillRect/>
                    </a:stretch>
                  </pic:blipFill>
                  <pic:spPr bwMode="auto">
                    <a:xfrm>
                      <a:off x="0" y="0"/>
                      <a:ext cx="6204585" cy="2094865"/>
                    </a:xfrm>
                    <a:prstGeom prst="rect">
                      <a:avLst/>
                    </a:prstGeom>
                  </pic:spPr>
                </pic:pic>
              </a:graphicData>
            </a:graphic>
          </wp:inline>
        </w:drawing>
      </w:r>
    </w:p>
    <w:p>
      <w:pPr>
        <w:pStyle w:val="Normal"/>
        <w:rPr/>
      </w:pPr>
      <w:r>
        <w:rPr/>
      </w:r>
    </w:p>
    <w:p>
      <w:pPr>
        <w:pStyle w:val="Normal"/>
        <w:rPr/>
      </w:pPr>
      <w:r>
        <w:rPr/>
      </w:r>
    </w:p>
    <w:p>
      <w:pPr>
        <w:pStyle w:val="Heading1"/>
        <w:rPr>
          <w:rFonts w:ascii="Times New Roman" w:hAnsi="Times New Roman" w:cs="Times New Roman"/>
          <w:b w:val="false"/>
          <w:b w:val="false"/>
          <w:i/>
          <w:i/>
          <w:color w:val="000000"/>
          <w:sz w:val="40"/>
          <w:szCs w:val="40"/>
        </w:rPr>
      </w:pPr>
      <w:bookmarkStart w:id="10" w:name="__RefHeading___Toc346652118"/>
      <w:bookmarkEnd w:id="10"/>
      <w:r>
        <w:rPr>
          <w:rFonts w:eastAsia="Calibri" w:cs="Times New Roman" w:ascii="Times New Roman" w:hAnsi="Times New Roman"/>
          <w:b w:val="false"/>
          <w:i/>
          <w:color w:val="000000"/>
          <w:sz w:val="40"/>
          <w:szCs w:val="40"/>
        </w:rPr>
        <w:t>Описание на основните дейности на проекта</w:t>
      </w:r>
      <w:r>
        <w:rPr>
          <w:rStyle w:val="StrongEmphasis"/>
          <w:rFonts w:cs="Times New Roman" w:ascii="Times New Roman" w:hAnsi="Times New Roman"/>
          <w:b w:val="false"/>
          <w:i/>
          <w:color w:val="000000"/>
          <w:sz w:val="40"/>
          <w:szCs w:val="40"/>
        </w:rPr>
        <w:t>:</w:t>
      </w:r>
    </w:p>
    <w:p>
      <w:pPr>
        <w:pStyle w:val="Normal"/>
        <w:rPr>
          <w:rFonts w:ascii="Times New Roman" w:hAnsi="Times New Roman" w:cs="Times New Roman"/>
          <w:b/>
          <w:b/>
          <w:i/>
          <w:i/>
          <w:color w:val="000000"/>
          <w:sz w:val="40"/>
          <w:szCs w:val="40"/>
        </w:rPr>
      </w:pPr>
      <w:r>
        <w:rPr>
          <w:rFonts w:cs="Times New Roman"/>
          <w:b/>
          <w:i/>
          <w:color w:val="000000"/>
          <w:sz w:val="40"/>
          <w:szCs w:val="40"/>
        </w:rPr>
      </w:r>
    </w:p>
    <w:p>
      <w:pPr>
        <w:pStyle w:val="Normal"/>
        <w:rPr/>
      </w:pPr>
      <w:r>
        <w:rPr/>
      </w:r>
    </w:p>
    <w:p>
      <w:pPr>
        <w:pStyle w:val="Normal"/>
        <w:rPr/>
      </w:pPr>
      <w:r>
        <w:rPr/>
      </w:r>
    </w:p>
    <w:p>
      <w:pPr>
        <w:pStyle w:val="Default"/>
        <w:rPr/>
      </w:pPr>
      <w:r>
        <w:rPr/>
        <w:t xml:space="preserve">Проектът за интегриран градски транспорт включва следните групи от дейности: </w:t>
      </w:r>
    </w:p>
    <w:p>
      <w:pPr>
        <w:pStyle w:val="Default"/>
        <w:ind w:firstLine="567"/>
        <w:rPr/>
      </w:pPr>
      <w:r>
        <w:rPr/>
      </w:r>
    </w:p>
    <w:p>
      <w:pPr>
        <w:pStyle w:val="Default"/>
        <w:rPr>
          <w:b/>
          <w:b/>
          <w:bCs/>
        </w:rPr>
      </w:pPr>
      <w:r>
        <w:rPr>
          <w:b/>
          <w:bCs/>
        </w:rPr>
        <w:t xml:space="preserve">Работен пакет 1. Обновяване на автобусния парк </w:t>
      </w:r>
    </w:p>
    <w:p>
      <w:pPr>
        <w:pStyle w:val="Default"/>
        <w:rPr/>
      </w:pPr>
      <w:r>
        <w:rPr/>
        <w:t xml:space="preserve">Автобусният парк с който се обслужват линиите на обществения транспорт в града е силно амортизиран и се състои основно от автобуси втора употреба със средна възраст от 15 до 20 години, по стандарт EURO 0 и 1, които изискват високи разходи за поддръжка. С изключение на 10 нови метанови автобуси, с които оперира общинският превозвач "Бургасбус" ЕООД, превозните средства са само частично адаптирани за хора с увреждания. </w:t>
      </w:r>
    </w:p>
    <w:p>
      <w:pPr>
        <w:pStyle w:val="Normal"/>
        <w:rPr/>
      </w:pPr>
      <w:r>
        <w:rPr/>
        <w:t>В рамките на предлагания проект се предвижда доставката и въвеждането в експлоатация на 28 съчленени дизелови автобуси, които да обслужва BRT линията и 39 метанови автобуса, с които да се осигури модерен автопарк за обслужване на останалата част от мрежата на обществения транспорт. Новите автобуси ще бъдат нискобордови, с цел осигуряване достъпност за хора с увреждания, при всички врати и ще отговарят на Европейските стандарти за емисии Euro 5 или по-високи.</w:t>
      </w:r>
    </w:p>
    <w:p>
      <w:pPr>
        <w:pStyle w:val="Normal"/>
        <w:rPr/>
      </w:pPr>
      <w:r>
        <w:rPr/>
      </w:r>
    </w:p>
    <w:p>
      <w:pPr>
        <w:pStyle w:val="Default"/>
        <w:rPr>
          <w:b/>
          <w:b/>
          <w:bCs/>
        </w:rPr>
      </w:pPr>
      <w:r>
        <w:rPr>
          <w:b/>
          <w:bCs/>
        </w:rPr>
        <w:t xml:space="preserve">Работен пакет 2. Изготвяне на технически инвестиционни проекти: </w:t>
      </w:r>
    </w:p>
    <w:p>
      <w:pPr>
        <w:pStyle w:val="Default"/>
        <w:rPr/>
      </w:pPr>
      <w:r>
        <w:rPr/>
        <w:t xml:space="preserve">Дейностите в рамките на този компонент включват: </w:t>
      </w:r>
    </w:p>
    <w:p>
      <w:pPr>
        <w:pStyle w:val="Default"/>
        <w:rPr/>
      </w:pPr>
      <w:r>
        <w:rPr/>
        <w:t xml:space="preserve">- Изготвяне на технически инвестиционни проекти за реконструкция и модернизация на автобусно депо и работилница, дизел и метан станция </w:t>
      </w:r>
    </w:p>
    <w:p>
      <w:pPr>
        <w:pStyle w:val="Default"/>
        <w:rPr/>
      </w:pPr>
      <w:r>
        <w:rPr/>
        <w:t>- Изготвяне на технически инвестиционни проекти за пешеходни надлези и система от веломаршрути</w:t>
      </w:r>
      <w:r>
        <w:rPr>
          <w:b/>
          <w:bCs/>
        </w:rPr>
        <w:t xml:space="preserve">; </w:t>
      </w:r>
    </w:p>
    <w:p>
      <w:pPr>
        <w:pStyle w:val="Default"/>
        <w:rPr/>
      </w:pPr>
      <w:r>
        <w:rPr/>
        <w:t>- Изготвяне на технически инвестиционни проекти за системата от бързи автобусни линии /BRT/, автобусен терминал до ж.п.гара и терминал в ж.к. Меден Рудник</w:t>
      </w:r>
      <w:r>
        <w:rPr>
          <w:b/>
          <w:bCs/>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b/>
          <w:bCs/>
        </w:rPr>
        <w:t>Работен пакет 3: Инфраструктура</w:t>
      </w:r>
      <w:r>
        <w:rPr/>
        <w:t>:</w:t>
      </w:r>
    </w:p>
    <w:p>
      <w:pPr>
        <w:pStyle w:val="Normal"/>
        <w:rPr/>
      </w:pPr>
      <w:r>
        <w:rPr/>
      </w:r>
    </w:p>
    <w:p>
      <w:pPr>
        <w:pStyle w:val="Default"/>
        <w:rPr>
          <w:b/>
          <w:b/>
          <w:bCs/>
        </w:rPr>
      </w:pPr>
      <w:r>
        <w:rPr>
          <w:b/>
          <w:bCs/>
        </w:rPr>
        <w:t xml:space="preserve">3.1. Реконструкция и модернизация на автобусно депо и работилница, дизел и метан станция </w:t>
      </w:r>
    </w:p>
    <w:p>
      <w:pPr>
        <w:pStyle w:val="Default"/>
        <w:rPr/>
      </w:pPr>
      <w:r>
        <w:rPr/>
        <w:t xml:space="preserve">В рамките на компонента се предвиждат дейности по реконструкция и модернизация на автобусно депо и съоръжения за ремонт и поддръжка с цел осигуряване на подходящи условия за обслужване на закупения по проекта автобусен парк. Предвижда се разширяване капацитета на сега съществуващото депо на територията на общинска фирма "Бургасбус" ЕООД за ремонт и поддръжка на автобуси с две различни горивни системи, както и реконструкция на съществуваща дизел станция за обслужване на дизелови и метанови автобуси. За целта фирма "Бургасбус" ЕООД учредява ограничено вещно право на строеж върху тази част от територията на автобусното депо, обект на интервенция по проекта. </w:t>
      </w:r>
    </w:p>
    <w:p>
      <w:pPr>
        <w:pStyle w:val="Default"/>
        <w:rPr/>
      </w:pPr>
      <w:r>
        <w:rPr/>
        <w:t xml:space="preserve">По време на подготовката на проекта бяха идентифицирани няколко варианта за реконструкция на автобусното депо. В съответствие с вариант 1 предвидените строително - ремонтни работи по компонента включват: </w:t>
      </w:r>
    </w:p>
    <w:p>
      <w:pPr>
        <w:pStyle w:val="Default"/>
        <w:rPr/>
      </w:pPr>
      <w:r>
        <w:rPr/>
        <w:t xml:space="preserve">- реконструкция и модернизация на работилница за ремонт и поддръжка на новите автобуси, включително съществуващите 10 метанови автобуса; </w:t>
      </w:r>
    </w:p>
    <w:p>
      <w:pPr>
        <w:pStyle w:val="Default"/>
        <w:rPr/>
      </w:pPr>
      <w:r>
        <w:rPr/>
        <w:t xml:space="preserve">- въвеждане на нова енергоефективна отоплителна система; </w:t>
      </w:r>
    </w:p>
    <w:p>
      <w:pPr>
        <w:pStyle w:val="Default"/>
        <w:rPr/>
      </w:pPr>
      <w:r>
        <w:rPr/>
        <w:t xml:space="preserve">- обособяване на зона за преглед на автобусите, съоръжения за миене и почистване, депо за употребявани гуми; </w:t>
      </w:r>
    </w:p>
    <w:p>
      <w:pPr>
        <w:pStyle w:val="Default"/>
        <w:rPr/>
      </w:pPr>
      <w:r>
        <w:rPr/>
        <w:t xml:space="preserve">- преустройство на съществуваща дизел станция и изграждане на дизел и метан станция </w:t>
      </w:r>
    </w:p>
    <w:p>
      <w:pPr>
        <w:pStyle w:val="Default"/>
        <w:rPr/>
      </w:pPr>
      <w:r>
        <w:rPr/>
        <w:t xml:space="preserve">- преустройство на съществуващи подходи и паркинги; </w:t>
      </w:r>
    </w:p>
    <w:p>
      <w:pPr>
        <w:pStyle w:val="Default"/>
        <w:rPr/>
      </w:pPr>
      <w:r>
        <w:rPr/>
        <w:t xml:space="preserve">- ремонт и обновяване на зоните около реконструираните работилница, дизел и метан станция. </w:t>
      </w:r>
    </w:p>
    <w:p>
      <w:pPr>
        <w:pStyle w:val="Default"/>
        <w:rPr/>
      </w:pPr>
      <w:r>
        <w:rPr/>
        <w:t xml:space="preserve">Строително - ремонтните дейности в границите на автобусното депо ще следват основните препоръки за осигуряване на ефективно и качествено обслужване на новия автобусен парк, а именно: </w:t>
      </w:r>
    </w:p>
    <w:p>
      <w:pPr>
        <w:pStyle w:val="Default"/>
        <w:rPr/>
      </w:pPr>
      <w:r>
        <w:rPr/>
        <w:t xml:space="preserve">- функционално и физическо разделяне на зоните за преглед, ремонт и поддръжка на новите автобуси от тези - за старите такива; </w:t>
      </w:r>
    </w:p>
    <w:p>
      <w:pPr>
        <w:pStyle w:val="Default"/>
        <w:rPr/>
      </w:pPr>
      <w:r>
        <w:rPr/>
        <w:t xml:space="preserve">- физическо отделяне на дейностите по ремонт и обслужване на метановите и дизеловите автобуси; </w:t>
      </w:r>
    </w:p>
    <w:p>
      <w:pPr>
        <w:pStyle w:val="Default"/>
        <w:rPr/>
      </w:pPr>
      <w:r>
        <w:rPr/>
        <w:t xml:space="preserve">- реорганизация на пространството и логистиката на депото, която да предоставя възможности за прилагане на превантивен, а не ретроактивен подход при отстраняване на повреди. </w:t>
      </w:r>
    </w:p>
    <w:p>
      <w:pPr>
        <w:pStyle w:val="Normal"/>
        <w:rPr/>
      </w:pPr>
      <w:r>
        <w:rPr/>
      </w:r>
    </w:p>
    <w:p>
      <w:pPr>
        <w:pStyle w:val="Normal"/>
        <w:rPr/>
      </w:pPr>
      <w:r>
        <w:rPr/>
      </w:r>
    </w:p>
    <w:p>
      <w:pPr>
        <w:pStyle w:val="Default"/>
        <w:rPr>
          <w:b/>
          <w:b/>
          <w:bCs/>
        </w:rPr>
      </w:pPr>
      <w:r>
        <w:rPr>
          <w:b/>
          <w:bCs/>
        </w:rPr>
        <w:t xml:space="preserve">3.2. Въвеждане на система на бърз автобусен транспорт, Централна автобусна спирка и светофарна система с приоритет за автобуси </w:t>
      </w:r>
    </w:p>
    <w:p>
      <w:pPr>
        <w:pStyle w:val="Default"/>
        <w:rPr/>
      </w:pPr>
      <w:r>
        <w:rPr/>
        <w:t xml:space="preserve">Компонентът включва три подкомпонента, които формират основата на системата за бърз автобусен транспорт: </w:t>
      </w:r>
    </w:p>
    <w:p>
      <w:pPr>
        <w:pStyle w:val="Default"/>
        <w:rPr/>
      </w:pPr>
      <w:r>
        <w:rPr/>
      </w:r>
    </w:p>
    <w:p>
      <w:pPr>
        <w:pStyle w:val="Normal"/>
        <w:rPr/>
      </w:pPr>
      <w:r>
        <w:rPr>
          <w:b/>
          <w:bCs/>
        </w:rPr>
        <w:t>Обособени и сегрегирани ленти за автобуси</w:t>
      </w:r>
      <w:r>
        <w:rPr/>
        <w:t xml:space="preserve"> - Автобусните ленти и автобусните платна ще се изграждат по маршрута:</w:t>
      </w:r>
    </w:p>
    <w:p>
      <w:pPr>
        <w:pStyle w:val="Default"/>
        <w:rPr/>
      </w:pPr>
      <w:r>
        <w:rPr/>
        <w:t xml:space="preserve">От Центъра на града при км 0 до км 1-400 лентата за бърз автобусен транспорт ще бъде изградена по ул. „Христо Ботев” - натоварена двупосочна улица с 4 ленти и еднопосочен тролейбусен маршрут и интензивно движение на пешеходци, но с ограничени зони за паркиране. </w:t>
      </w:r>
    </w:p>
    <w:p>
      <w:pPr>
        <w:pStyle w:val="Default"/>
        <w:rPr/>
      </w:pPr>
      <w:r>
        <w:rPr/>
        <w:t xml:space="preserve">Между км 1-400 и км 1-670 маршрутът следва бул. „Сан Стефано” - натоварена двупосочна улица с 4 ленти. Когато се стартира BRT линията, движението на автомобилния трафик ще бъде редуцирано до две ленти - по една във всяка посока в участъка между ул. „Христо Ботев” и ул. „Стефан Стамболов”. Лентите за движение на автобусите ще бъдат разположени в северната част на уличното платно, като пред площада на Бургаски свободен университет, в зоната на контакт с централната пешеходна улица на града, ще бъде обособена Централна автобусна спирка с атрактивни съоръжения за пътниците. </w:t>
      </w:r>
    </w:p>
    <w:p>
      <w:pPr>
        <w:pStyle w:val="Default"/>
        <w:rPr/>
      </w:pPr>
      <w:r>
        <w:rPr/>
        <w:t xml:space="preserve">Ул. „Стефан Стамболов”, по която продължава трасето на BRT е улица с едно платно от 4 ленти с обособени места за странично паркиране. В участъка до ул. Ванче Михайлов при км. 2-200, тя преминава в улица с две платна, всяко от които с две ленти. На север от бул. „Демокрация” близо до сградата на МБАЛ - Бургас, трафикът по улицата е значително по-натоварен, тъй - като в нея се вливат първоначално две, а след това и трета основни улици в посока север - юг. В този участък се предвижда изграждането на сегрегирани автобусни ленти с тротоарен остров между тях и останалата част от платното. Решението налага частично преасфалтиране с оглед промяна на профила на улицата. </w:t>
      </w:r>
    </w:p>
    <w:p>
      <w:pPr>
        <w:pStyle w:val="Default"/>
        <w:rPr/>
      </w:pPr>
      <w:r>
        <w:rPr/>
        <w:t xml:space="preserve">От ул. „Стефан Стамболов” BRT линията се разклонява на две. Първото разклонение завива наляво по бул. „Тракия”. Това е широк 2 лентов път с плътно паркиране от двете страни, което ще бъде ограничено или премахнато при изграждането на BRT. При бул. „Янко Комитов” (км 5-030) трасето завива надясно по двоен 2-лентов радиален път с оширен централен резерв, който се използва за паркиране от много коли. </w:t>
      </w:r>
    </w:p>
    <w:p>
      <w:pPr>
        <w:pStyle w:val="Default"/>
        <w:rPr/>
      </w:pPr>
      <w:r>
        <w:rPr/>
        <w:t xml:space="preserve">Второто разклонение (км 3-400) на маршрута на BRT се насочва на северо-изток по бул. „Никола Петков” - двоен 2-лентов път. След като завие наляво към жилищната зона при Km 4400 маршрутът преминава по единичен 2-лентов път, като продължава до своята финална точка при съществуващата крайна автобусна спирка на кръговото движение на ул. „Транспортна” при приблизително км. 5-600. </w:t>
      </w:r>
    </w:p>
    <w:p>
      <w:pPr>
        <w:pStyle w:val="Default"/>
        <w:rPr/>
      </w:pPr>
      <w:r>
        <w:rPr/>
        <w:t xml:space="preserve">От Центъра на града при Km 0 BRT маршрутът се насочва на запад по бул. „Иван Вазов” (единичен 2 и 4 лентов път с тролейбусни линии на изток), достига виадукта по ул. „Индустриална”, който преминава над няколко ж.п.линии. В този участък пътят е двоен 3-лентов и с движение на тролеи в двете посоки. След това маршрутът завива на северо-запад по ул. Спортна в посока езерото Вая. </w:t>
      </w:r>
    </w:p>
    <w:p>
      <w:pPr>
        <w:pStyle w:val="Default"/>
        <w:rPr/>
      </w:pPr>
      <w:r>
        <w:rPr/>
        <w:t xml:space="preserve">От виадукта в началото на ул. „Индустриална” покрай езеро „Вая” се предвижда изграждането на сегрегерани автобусни ленти, за да се осигури приоритет на автобусите особено на кръстовищата. </w:t>
      </w:r>
    </w:p>
    <w:p>
      <w:pPr>
        <w:pStyle w:val="Default"/>
        <w:rPr/>
      </w:pPr>
      <w:r>
        <w:rPr/>
        <w:t xml:space="preserve">От ул. Спортна BRT лентите се включват по бул. „Тодор Александров” – натоварен 2-лентов високоскоростен участък, който следва езерото на около 10-15 метра от брега. По част от този участък съществува аварийна лента, а от вътрешната страна пътят е ограничен от широко до 20-30m празно пространство, което го разделя от зелени площи или промишлени зони. </w:t>
      </w:r>
    </w:p>
    <w:p>
      <w:pPr>
        <w:pStyle w:val="Normal"/>
        <w:suppressAutoHyphens w:val="false"/>
        <w:autoSpaceDE w:val="false"/>
        <w:spacing w:lineRule="auto" w:line="240"/>
        <w:ind w:firstLine="567"/>
        <w:rPr/>
      </w:pPr>
      <w:r>
        <w:rPr/>
        <w:t>В този участък профилът на съществуващият път ще бъде премоделиран, за да осигури странични сегрегирани ленти за автобуси в двете посоки и по три ленти за двупосочно движение на останалия трафик. За целта ще бъде увеличен габарита на съществуващата улица за сметка на част от банкета, страничните и централните резервни ширини.</w:t>
      </w:r>
    </w:p>
    <w:p>
      <w:pPr>
        <w:pStyle w:val="Default"/>
        <w:rPr/>
      </w:pPr>
      <w:r>
        <w:rPr/>
        <w:t xml:space="preserve">Съществуващата тролейбусна инфраструктура по ул."Спортна" и бул. "Тодор Александров" включва стълбове и контактна мрежа, които не се използват. Тролейбусната линия е изведена по алтернативен (паралелен) маршрут по ул."Индустриална". Поради това се предвижда премахването на тролейбусните стълбове и мрежа, за да се осигури допълнително пространство за разширение на трасето на бързите автобуси. </w:t>
      </w:r>
    </w:p>
    <w:p>
      <w:pPr>
        <w:pStyle w:val="Default"/>
        <w:rPr/>
      </w:pPr>
      <w:r>
        <w:rPr/>
        <w:t xml:space="preserve">При подхода към ж.к. "Меден рудник" линията на BRT следва бул. "Захари Стоянов". От тази точка до навлизането си в жилищния комплекс (между Km 4800 и 6100) двойният двулентов път ремонтиран включително с обособяване на нови ленти и велосипедна алея. В този участък се предвижда изграждането на сегрегирани автобусни ленти вкл. обходни ленти при кръстовищата. </w:t>
      </w:r>
    </w:p>
    <w:p>
      <w:pPr>
        <w:pStyle w:val="Default"/>
        <w:rPr/>
      </w:pPr>
      <w:r>
        <w:rPr/>
        <w:t xml:space="preserve">От км 6-220 маршрутът тръгва наляво и в продължение на около 200м представлява единичен 4-лентов път вкл. 2 тролейбусни ленти. След това от км 6-420 маршрутът следва единичен 2-лентов път през жилищен район с множество търговски обекти. Единственото изключение е между км 7-410 и 8-150, където пътят е двоен 2-лентов. В този район има значителен брой строежи на жилищни сгради с множество строящи се 5 или 6 етажни жилищни блокове. </w:t>
      </w:r>
    </w:p>
    <w:p>
      <w:pPr>
        <w:pStyle w:val="Default"/>
        <w:rPr/>
      </w:pPr>
      <w:r>
        <w:rPr/>
        <w:t xml:space="preserve">При км 8-300 маршрутът на BRT достига своята крайна спирка – Меден Рудник. </w:t>
      </w:r>
    </w:p>
    <w:p>
      <w:pPr>
        <w:pStyle w:val="Normal"/>
        <w:rPr/>
      </w:pPr>
      <w:r>
        <w:rPr/>
      </w:r>
    </w:p>
    <w:p>
      <w:pPr>
        <w:pStyle w:val="Default"/>
        <w:rPr>
          <w:b/>
          <w:b/>
          <w:bCs/>
        </w:rPr>
      </w:pPr>
      <w:r>
        <w:rPr>
          <w:b/>
          <w:bCs/>
        </w:rPr>
        <w:t xml:space="preserve">Централна автобусна спирка: </w:t>
      </w:r>
    </w:p>
    <w:p>
      <w:pPr>
        <w:pStyle w:val="Default"/>
        <w:rPr/>
      </w:pPr>
      <w:r>
        <w:rPr/>
        <w:t xml:space="preserve">Вторият подкомпонент на системата от бърз автобусен транспорт е Централна автобусна спирка, разположена по трасето на BRT по бул. Сан Стефано в близост до централната пешеходна улица на града. Позиционирането на спирката се обуславя от идеята за безконфликтен контакт на BRT маршрута с най-оживената и посещавана част на града - централната пешеходна ул. Александровска. </w:t>
      </w:r>
    </w:p>
    <w:p>
      <w:pPr>
        <w:pStyle w:val="Default"/>
        <w:rPr/>
      </w:pPr>
      <w:r>
        <w:rPr/>
        <w:t xml:space="preserve">Изграждането на Централната автобусна спирка е ключов момент в интегрирането на системата за бърз автобусен транспорт в градоустройствената схема на Бургас. Това е точката, в която общественият транспорт пресича централната градска част и осъществява комуникация с централните за града социално значими пространства. </w:t>
      </w:r>
    </w:p>
    <w:p>
      <w:pPr>
        <w:pStyle w:val="Default"/>
        <w:rPr/>
      </w:pPr>
      <w:r>
        <w:rPr/>
        <w:t xml:space="preserve">Значението на Централната автобусна спирка ще бъде подчертано чрез атрактивен архитектурен дизайн, което ще я превърне в разпознаваем и търсен елемент от новата схема на обществения транспорт. </w:t>
      </w:r>
    </w:p>
    <w:p>
      <w:pPr>
        <w:pStyle w:val="Default"/>
        <w:rPr/>
      </w:pPr>
      <w:r>
        <w:rPr/>
        <w:t xml:space="preserve">Предвижда се спирката да се превърне в място, което осигурява удобство и комфорт за пътниците, с обособен офис за продажба на билети, информация, тоалетни и павилион за вестници и списания. </w:t>
      </w:r>
    </w:p>
    <w:p>
      <w:pPr>
        <w:pStyle w:val="Normal"/>
        <w:rPr/>
      </w:pPr>
      <w:r>
        <w:rPr/>
      </w:r>
    </w:p>
    <w:p>
      <w:pPr>
        <w:pStyle w:val="Default"/>
        <w:rPr>
          <w:b/>
          <w:b/>
          <w:bCs/>
        </w:rPr>
      </w:pPr>
      <w:r>
        <w:rPr>
          <w:b/>
          <w:bCs/>
        </w:rPr>
        <w:t xml:space="preserve">Приоритетна за автобусите светофарна система: </w:t>
      </w:r>
    </w:p>
    <w:p>
      <w:pPr>
        <w:pStyle w:val="Normal"/>
        <w:suppressAutoHyphens w:val="false"/>
        <w:autoSpaceDE w:val="false"/>
        <w:spacing w:lineRule="auto" w:line="240"/>
        <w:rPr/>
      </w:pPr>
      <w:r>
        <w:rPr/>
        <w:t>Осигуряването на приоритет за атобусите при светофарите по трасето на BRT е от изключително значение за постигане на максимална скорост и безконфликтно движение на обществения транспорт. Всички светофари по 16-те кръстовища по маршрута на BRT ще бъдат оборудвани с контролери за осигуряване на приоритет на средствата за обществен транспорт. Допълнителни 4 кръстовища по трасето на захранващите BRT автобусни линии ще бъдат оборудвани с контролери за осигуряване</w:t>
      </w:r>
    </w:p>
    <w:p>
      <w:pPr>
        <w:pStyle w:val="Default"/>
        <w:rPr/>
      </w:pPr>
      <w:r>
        <w:rPr/>
        <w:t xml:space="preserve">приоритет на обществения транспорт. Инвестициите ще доведат до намаляване на времето за изчакване на автобусите, избягване на задръствания, предвидимост и съкращаване на необходимото за едно пътуване време. </w:t>
      </w:r>
    </w:p>
    <w:p>
      <w:pPr>
        <w:pStyle w:val="Default"/>
        <w:rPr/>
      </w:pPr>
      <w:r>
        <w:rPr/>
      </w:r>
    </w:p>
    <w:p>
      <w:pPr>
        <w:pStyle w:val="Default"/>
        <w:rPr>
          <w:b/>
          <w:b/>
          <w:bCs/>
        </w:rPr>
      </w:pPr>
      <w:r>
        <w:rPr>
          <w:b/>
          <w:bCs/>
        </w:rPr>
        <w:t xml:space="preserve">3.3. Пешеходни надлези </w:t>
      </w:r>
    </w:p>
    <w:p>
      <w:pPr>
        <w:pStyle w:val="Default"/>
        <w:rPr/>
      </w:pPr>
      <w:r>
        <w:rPr/>
        <w:t xml:space="preserve">Проектът предвижда изграждането на пешеходни надлези на 4 места в Бургас, с оглед подобряване достъпа до маршрута на бързата автобусна линия и гарантиране безопасно и безконфликтно придвижване на пешеходците. Основна цел на този компонент е да се даде приоритет на пешеходците на четири ключови места в градските зони: </w:t>
      </w:r>
    </w:p>
    <w:p>
      <w:pPr>
        <w:pStyle w:val="Default"/>
        <w:rPr/>
      </w:pPr>
      <w:r>
        <w:rPr/>
        <w:t xml:space="preserve">- по бул. "Димитър Димов", при Гимназия с преподаване на английски език "Гео Милев", в близост до Приморски парк; </w:t>
      </w:r>
    </w:p>
    <w:p>
      <w:pPr>
        <w:pStyle w:val="Default"/>
        <w:rPr/>
      </w:pPr>
      <w:r>
        <w:rPr/>
        <w:t xml:space="preserve">- по ул."Стефан Стамболов", в близост до МБАЛ - Бургас; </w:t>
      </w:r>
    </w:p>
    <w:p>
      <w:pPr>
        <w:pStyle w:val="Default"/>
        <w:rPr/>
      </w:pPr>
      <w:r>
        <w:rPr/>
        <w:t xml:space="preserve">- по ул."Стефан Стамболов", в близост до хотел "Мираж"; </w:t>
      </w:r>
    </w:p>
    <w:p>
      <w:pPr>
        <w:pStyle w:val="Default"/>
        <w:rPr/>
      </w:pPr>
      <w:r>
        <w:rPr/>
        <w:t xml:space="preserve">- до сградните съоръжения на фирма Чикън груп по пътя за кв. Ветрен. </w:t>
      </w:r>
    </w:p>
    <w:p>
      <w:pPr>
        <w:pStyle w:val="Default"/>
        <w:rPr/>
      </w:pPr>
      <w:r>
        <w:rPr/>
      </w:r>
    </w:p>
    <w:p>
      <w:pPr>
        <w:pStyle w:val="Default"/>
        <w:rPr>
          <w:b/>
          <w:b/>
          <w:bCs/>
        </w:rPr>
      </w:pPr>
      <w:r>
        <w:rPr>
          <w:b/>
          <w:bCs/>
        </w:rPr>
        <w:t xml:space="preserve">3.4. Автогара Юг (до ж.п. гара) </w:t>
      </w:r>
    </w:p>
    <w:p>
      <w:pPr>
        <w:pStyle w:val="Default"/>
        <w:rPr/>
      </w:pPr>
      <w:r>
        <w:rPr/>
        <w:t>Предвидената за реконструкция по проекта автогара Юг е разположена в непосредствена близост до ж.п. гарата и Пристанище -Бургас. Понастоящем тя обслужва предимно градски и междуселищни автобусни линии и представлява контактна транспортна точка с курортните селища на север и на юг от града. От изключително значение е новата транспортна схема на града да запази и разшири функциите на автогарата, която ще осигурява контакт с бързата автобусна линия отедна страна и връзка с туристите, пристигащи от летище Бургас и пешеходната зона на града -от друга.</w:t>
      </w:r>
    </w:p>
    <w:p>
      <w:pPr>
        <w:pStyle w:val="Default"/>
        <w:rPr/>
      </w:pPr>
      <w:r>
        <w:rPr/>
        <w:t xml:space="preserve">Съществуващата инфраструктура на автогара Юг е амортизирана и компрометирана и не отговаря на съвременните стандарти за комфорт, безопасност достъпност на средата. Проектното предложение предвижда обновяване и реконструкция на съществуващата сграда, като новото решение ще интегрира модерни и удобни помещения за пътниците,  офис за продажба на билети и информация за пътниците, помещения за шофьорите и за диспечерите, туристически информационен център, павилион за вестници и кафене. Цялостният план на автогарата ще бъде променен, включително спирки, места за паркиране на автобуси и подходи. Планира се обособяването на 8 спирки - 6 за редовна употреба и 2 - използвани по време на туристическия сезон. Спирките ще бъдат оборудвани с подходящи съоръжения за изчакване и информация в реално време за пътниците. </w:t>
      </w:r>
    </w:p>
    <w:p>
      <w:pPr>
        <w:pStyle w:val="Normal"/>
        <w:suppressAutoHyphens w:val="false"/>
        <w:autoSpaceDE w:val="false"/>
        <w:spacing w:lineRule="auto" w:line="360"/>
        <w:ind w:firstLine="567"/>
        <w:rPr/>
      </w:pPr>
      <w:r>
        <w:rPr/>
        <w:t>Местата за паркиране на изчакващите автобуси ще бъдат ограничени до места за 6 автобуса.</w:t>
      </w:r>
    </w:p>
    <w:p>
      <w:pPr>
        <w:pStyle w:val="Default"/>
        <w:rPr>
          <w:b/>
          <w:b/>
          <w:bCs/>
        </w:rPr>
      </w:pPr>
      <w:r>
        <w:rPr>
          <w:b/>
          <w:bCs/>
        </w:rPr>
        <w:t xml:space="preserve">3.5. Велосипедни съоръжения </w:t>
      </w:r>
    </w:p>
    <w:p>
      <w:pPr>
        <w:pStyle w:val="Default"/>
        <w:rPr/>
      </w:pPr>
      <w:r>
        <w:rPr/>
        <w:t xml:space="preserve">Компонентът предвижда изграждането на единна система от велосипедни алеи, които ще обвързват по-отдалечените жилищни квартали с централната градска част и различните функционални зони на града. Предвижда се изграждането на велоалеи с приблизителна дължина от 20.2 км. Изграждането на мрежа от велосипедни съоръжения е част от политиката на Общината да популяризира алтернативни и екологични начини за транспорт като фактор за създаване на нова градска култура на придвижване. Тя представлява неделима част от интегрирания подход за промяна на модела на придвижване от използването на лични автомобили към екологично чисти превозни средства. </w:t>
      </w:r>
    </w:p>
    <w:p>
      <w:pPr>
        <w:pStyle w:val="Default"/>
        <w:rPr/>
      </w:pPr>
      <w:r>
        <w:rPr/>
      </w:r>
    </w:p>
    <w:p>
      <w:pPr>
        <w:pStyle w:val="Default"/>
        <w:rPr>
          <w:b/>
          <w:b/>
          <w:bCs/>
        </w:rPr>
      </w:pPr>
      <w:r>
        <w:rPr>
          <w:b/>
          <w:bCs/>
        </w:rPr>
        <w:t xml:space="preserve">3.6. Автобусен терминал в жилищен комплекс "Меден Рудник" </w:t>
      </w:r>
    </w:p>
    <w:p>
      <w:pPr>
        <w:pStyle w:val="Default"/>
        <w:rPr/>
      </w:pPr>
      <w:r>
        <w:rPr/>
        <w:t xml:space="preserve">Дейността включва реконструкция и разширяване на съществуващия автобусен терминал в ж.к. Меден рудник – един от най големите жилищни райони в града. Сегашният автобусен терминал обслужва около 300 автобуса дневно и няма подходящи съоръжения за пътниците. </w:t>
      </w:r>
    </w:p>
    <w:p>
      <w:pPr>
        <w:pStyle w:val="Default"/>
        <w:rPr/>
      </w:pPr>
      <w:r>
        <w:rPr/>
        <w:t xml:space="preserve">Обновеният терминал ще включва реконструкции на следните съоръжения: малка сграда за оперативни нужди, обръщало за автобусите и буферен паркинг за автобуси, спирка за пътниците. </w:t>
      </w:r>
    </w:p>
    <w:p>
      <w:pPr>
        <w:pStyle w:val="Normal"/>
        <w:rPr/>
      </w:pPr>
      <w:r>
        <w:rPr/>
      </w:r>
    </w:p>
    <w:p>
      <w:pPr>
        <w:pStyle w:val="Normal"/>
        <w:rPr/>
      </w:pPr>
      <w:r>
        <w:rPr/>
      </w:r>
    </w:p>
    <w:p>
      <w:pPr>
        <w:pStyle w:val="Default"/>
        <w:rPr>
          <w:b/>
          <w:b/>
          <w:bCs/>
        </w:rPr>
      </w:pPr>
      <w:r>
        <w:rPr>
          <w:b/>
          <w:bCs/>
        </w:rPr>
        <w:t xml:space="preserve">Работен пакет 4. Строителен и авторски надзор по време на строителството </w:t>
      </w:r>
    </w:p>
    <w:p>
      <w:pPr>
        <w:pStyle w:val="Default"/>
        <w:rPr/>
      </w:pPr>
      <w:r>
        <w:rPr/>
        <w:t xml:space="preserve">Надзора на строителните работи ще бъде обект на провеждане на обществена поръчка и ще включва следните компоненти: </w:t>
      </w:r>
    </w:p>
    <w:p>
      <w:pPr>
        <w:pStyle w:val="Default"/>
        <w:rPr/>
      </w:pPr>
      <w:r>
        <w:rPr/>
        <w:t xml:space="preserve">- строителен и авторски надзор по време на СМР за обект Автобусното депо и работилница, дизел и метан станция. </w:t>
      </w:r>
    </w:p>
    <w:p>
      <w:pPr>
        <w:pStyle w:val="Default"/>
        <w:rPr/>
      </w:pPr>
      <w:r>
        <w:rPr/>
        <w:t xml:space="preserve">- строителен и авторски надзор по време на СМР за обекти: бързи автобусни линии, Централна автобусна спирка, светофарна система за приоритет на автобуси; </w:t>
      </w:r>
    </w:p>
    <w:p>
      <w:pPr>
        <w:pStyle w:val="Default"/>
        <w:rPr/>
      </w:pPr>
      <w:r>
        <w:rPr/>
        <w:t xml:space="preserve">- строителен и авторски надзор по време на СМР за обект автогара Юг; </w:t>
      </w:r>
    </w:p>
    <w:p>
      <w:pPr>
        <w:pStyle w:val="Default"/>
        <w:rPr/>
      </w:pPr>
      <w:r>
        <w:rPr/>
        <w:t xml:space="preserve">- строителен авторски надзор по време на СМР за обекти пешеходните надлези; </w:t>
      </w:r>
    </w:p>
    <w:p>
      <w:pPr>
        <w:pStyle w:val="Default"/>
        <w:rPr/>
      </w:pPr>
      <w:r>
        <w:rPr/>
        <w:t xml:space="preserve">- строителен и авторски надзор по време на СМР за обект система от велосипедни алеи; </w:t>
      </w:r>
    </w:p>
    <w:p>
      <w:pPr>
        <w:pStyle w:val="Default"/>
        <w:rPr/>
      </w:pPr>
      <w:r>
        <w:rPr/>
        <w:t xml:space="preserve">- строителен и авторски надзор по време на СМР за обект автобусен терминал в ж.к. Меден Рудник. </w:t>
      </w:r>
    </w:p>
    <w:p>
      <w:pPr>
        <w:pStyle w:val="Normal"/>
        <w:suppressAutoHyphens w:val="false"/>
        <w:autoSpaceDE w:val="false"/>
        <w:spacing w:lineRule="auto" w:line="240"/>
        <w:ind w:firstLine="567"/>
        <w:rPr/>
      </w:pPr>
      <w:r>
        <w:rPr/>
        <w:t>Авторският надзор по проекта ще бъде осъществяван от проектантските екипи, изготвили техническата документация по смисъла на Закона за устройство на територията (ЗУТ). Целта на надзора е да се съблюдават процесите на извършване на строителните дейности, да гарантира спазването на параметрите на работните проекти, както и да дава указания по време на изпълнението.</w:t>
      </w:r>
    </w:p>
    <w:p>
      <w:pPr>
        <w:pStyle w:val="Default"/>
        <w:rPr/>
      </w:pPr>
      <w:r>
        <w:rPr/>
        <w:t xml:space="preserve">Строителният надзор ще бъде изпълняван от избрани в резултат на проведена тръжна процедура консултанти, съгласно изискванията на ЗУТ и ще включва контрол по: спазване на графика на проекта за изпълнението на видовете работи, спазване на правилата по осигуряване безопасни и здравословни условия на труд, влагане на материали и други продукти с доказано съответствие и качество, съставяне на необходимата строителна документация и др. </w:t>
      </w:r>
    </w:p>
    <w:p>
      <w:pPr>
        <w:pStyle w:val="Default"/>
        <w:rPr/>
      </w:pPr>
      <w:r>
        <w:rPr/>
      </w:r>
    </w:p>
    <w:p>
      <w:pPr>
        <w:pStyle w:val="Default"/>
        <w:rPr>
          <w:b/>
          <w:b/>
          <w:bCs/>
        </w:rPr>
      </w:pPr>
      <w:r>
        <w:rPr>
          <w:b/>
          <w:bCs/>
        </w:rPr>
        <w:t xml:space="preserve">Работен пакет 5. Интегрирана система за управление на обществения транспорт </w:t>
      </w:r>
    </w:p>
    <w:p>
      <w:pPr>
        <w:pStyle w:val="Default"/>
        <w:rPr>
          <w:b/>
          <w:b/>
          <w:bCs/>
        </w:rPr>
      </w:pPr>
      <w:r>
        <w:rPr>
          <w:b/>
          <w:bCs/>
        </w:rPr>
      </w:r>
    </w:p>
    <w:p>
      <w:pPr>
        <w:pStyle w:val="Default"/>
        <w:rPr>
          <w:b/>
          <w:b/>
          <w:bCs/>
        </w:rPr>
      </w:pPr>
      <w:r>
        <w:rPr>
          <w:b/>
          <w:bCs/>
        </w:rPr>
        <w:t xml:space="preserve">5.1. Интегрирана билетна система </w:t>
      </w:r>
    </w:p>
    <w:p>
      <w:pPr>
        <w:pStyle w:val="Default"/>
        <w:rPr/>
      </w:pPr>
      <w:r>
        <w:rPr/>
        <w:t xml:space="preserve">Проектът предвижда въвеждането на интегрирана билетна система за градския транспорт, която ще допринесе за оптимизацията на градската транспортна мрежа, като позволи на пътниците да използват различни автобусни линии с унифициран електронен билет. В допълнение електронната билетна система предлага възможности за унифициране на билетите, използвани от различните транспортни оператори, въвеждане на промоционални тарифи и лесно комбиниране с други услуги в транспортния сектор в бъдеще. </w:t>
      </w:r>
    </w:p>
    <w:p>
      <w:pPr>
        <w:pStyle w:val="Default"/>
        <w:rPr/>
      </w:pPr>
      <w:r>
        <w:rPr/>
      </w:r>
    </w:p>
    <w:p>
      <w:pPr>
        <w:pStyle w:val="Default"/>
        <w:rPr>
          <w:b/>
          <w:b/>
          <w:bCs/>
        </w:rPr>
      </w:pPr>
      <w:r>
        <w:rPr>
          <w:b/>
          <w:bCs/>
        </w:rPr>
        <w:t xml:space="preserve">5.2. Система за информиране на пътниците в реално време </w:t>
      </w:r>
    </w:p>
    <w:p>
      <w:pPr>
        <w:pStyle w:val="Default"/>
        <w:rPr/>
      </w:pPr>
      <w:r>
        <w:rPr/>
        <w:t xml:space="preserve">Системата за информиране на пътниците в реално време включва доставка и монтаж на оборудване на автобусните спирки и на борда на автобусите. За пътуващите в градския транспорт пътници системата ще осигурява информация за номера на съответната линия, имената на спирките по маршрута, и оставащото време за пристигане до следваща спирка, автоматично обозначаване и съобщаване името на следващата спирка. </w:t>
      </w:r>
    </w:p>
    <w:p>
      <w:pPr>
        <w:pStyle w:val="Default"/>
        <w:rPr/>
      </w:pPr>
      <w:r>
        <w:rPr/>
        <w:t xml:space="preserve">На автобусните спирки ще бъдат монтирани дисплеи за информация в реално време за пътниците (PID), които ще показват номера на линията, имената на спирките по маршрута и очакваното време за пристигане на следващия автобус. </w:t>
      </w:r>
    </w:p>
    <w:p>
      <w:pPr>
        <w:pStyle w:val="Default"/>
        <w:rPr/>
      </w:pPr>
      <w:r>
        <w:rPr/>
      </w:r>
    </w:p>
    <w:p>
      <w:pPr>
        <w:pStyle w:val="Default"/>
        <w:rPr>
          <w:b/>
          <w:b/>
          <w:bCs/>
        </w:rPr>
      </w:pPr>
      <w:r>
        <w:rPr>
          <w:b/>
          <w:bCs/>
        </w:rPr>
        <w:t xml:space="preserve">5.3. Система за управление и контрол на обществения транспорт </w:t>
      </w:r>
    </w:p>
    <w:p>
      <w:pPr>
        <w:pStyle w:val="Default"/>
        <w:rPr/>
      </w:pPr>
      <w:r>
        <w:rPr/>
        <w:t xml:space="preserve">Основна цел на компонента е въвеждането на система за контрол и управление на обществения транспорт, която ще позволи постигане на високо ниво на обслужване и точност на транспортната услуга. Системата за контрол и управление на обществения транспорт включва следните елементи: </w:t>
      </w:r>
    </w:p>
    <w:p>
      <w:pPr>
        <w:pStyle w:val="Default"/>
        <w:rPr/>
      </w:pPr>
      <w:r>
        <w:rPr/>
        <w:t xml:space="preserve">- централна система за контрол на трафика; </w:t>
      </w:r>
    </w:p>
    <w:p>
      <w:pPr>
        <w:pStyle w:val="Default"/>
        <w:rPr/>
      </w:pPr>
      <w:r>
        <w:rPr/>
        <w:t xml:space="preserve">- бордова контролна система на автобусите; </w:t>
      </w:r>
    </w:p>
    <w:p>
      <w:pPr>
        <w:pStyle w:val="Default"/>
        <w:rPr/>
      </w:pPr>
      <w:r>
        <w:rPr/>
        <w:t xml:space="preserve">- интегриране на всички модули, свързани с контрола и управлението на обществения транспорт: контрол на оборудването за информация в реално време, управление на контрола на поддръжката, генериране на данни, управление на автопарка, диспечиране, контрол и надзор на обслужването, приоритет при светофарите и др. </w:t>
      </w:r>
    </w:p>
    <w:p>
      <w:pPr>
        <w:pStyle w:val="Default"/>
        <w:rPr/>
      </w:pPr>
      <w:r>
        <w:rPr/>
      </w:r>
    </w:p>
    <w:p>
      <w:pPr>
        <w:pStyle w:val="Default"/>
        <w:rPr>
          <w:b/>
          <w:b/>
          <w:bCs/>
        </w:rPr>
      </w:pPr>
      <w:r>
        <w:rPr>
          <w:b/>
          <w:bCs/>
        </w:rPr>
        <w:t xml:space="preserve">5.4. Система за видеонаблюдение (CCTV) </w:t>
      </w:r>
    </w:p>
    <w:p>
      <w:pPr>
        <w:pStyle w:val="Default"/>
        <w:rPr/>
      </w:pPr>
      <w:r>
        <w:rPr/>
        <w:t xml:space="preserve">Предвижданата по проекта система за видеонаблюдение (CCTV) ще бъде инсталирана на главните кръстовища по трасето на BRT линията и допълнителните линии на обществения транспорт. Дейността има за цел подобряване на възможностите за управление на обществения транспорт чрез мониторинг в реално време и включва: </w:t>
      </w:r>
    </w:p>
    <w:p>
      <w:pPr>
        <w:pStyle w:val="Default"/>
        <w:rPr/>
      </w:pPr>
      <w:r>
        <w:rPr/>
        <w:t xml:space="preserve">- инсталиране на 40 видеокамери по основните кръстовища по трасето на обществения транспорт; </w:t>
      </w:r>
    </w:p>
    <w:p>
      <w:pPr>
        <w:pStyle w:val="Default"/>
        <w:rPr/>
      </w:pPr>
      <w:r>
        <w:rPr/>
        <w:t xml:space="preserve">- доставка и монтаж на централна контролна система с възможности за интегриране в системата за контрол и управление на обществения транспорт. </w:t>
      </w:r>
    </w:p>
    <w:p>
      <w:pPr>
        <w:pStyle w:val="Default"/>
        <w:rPr/>
      </w:pPr>
      <w:r>
        <w:rPr/>
        <w:t xml:space="preserve">До създаването на Център за контрол и управление на трафика в гр. Бургас, системата за видеонаблюдение на обществения транспорт ще бъде инсталирана в офиса за управление на новосъздадената Синя зона. </w:t>
      </w:r>
    </w:p>
    <w:p>
      <w:pPr>
        <w:pStyle w:val="Default"/>
        <w:rPr/>
      </w:pPr>
      <w:r>
        <w:rPr/>
      </w:r>
    </w:p>
    <w:p>
      <w:pPr>
        <w:pStyle w:val="Default"/>
        <w:rPr>
          <w:b/>
          <w:b/>
          <w:bCs/>
        </w:rPr>
      </w:pPr>
      <w:r>
        <w:rPr>
          <w:b/>
          <w:bCs/>
        </w:rPr>
        <w:t xml:space="preserve">Работен пакет 6. Предпроектни проучвания за надграждане на системата за бърз автобусен транспорт </w:t>
      </w:r>
    </w:p>
    <w:p>
      <w:pPr>
        <w:pStyle w:val="Default"/>
        <w:rPr>
          <w:b/>
          <w:b/>
          <w:bCs/>
        </w:rPr>
      </w:pPr>
      <w:r>
        <w:rPr>
          <w:b/>
          <w:bCs/>
        </w:rPr>
      </w:r>
    </w:p>
    <w:p>
      <w:pPr>
        <w:pStyle w:val="Default"/>
        <w:rPr>
          <w:b/>
          <w:b/>
          <w:bCs/>
        </w:rPr>
      </w:pPr>
      <w:r>
        <w:rPr>
          <w:b/>
          <w:bCs/>
        </w:rPr>
        <w:t xml:space="preserve">6.1. Предпроектни проучвания и концепция за интегрирана система за управление на трафика и надграждане на BRT системата след успешното й въвеждане </w:t>
      </w:r>
    </w:p>
    <w:p>
      <w:pPr>
        <w:pStyle w:val="Default"/>
        <w:rPr/>
      </w:pPr>
      <w:r>
        <w:rPr/>
        <w:t xml:space="preserve">Настоящото проектно предложение и концепцията за изграждане на система за бърз автобусен транспорт се основава на разбирането за обществения транспорт като динамично развиваща се и адаптираща се към социалните и икономически потребности система, която е част от общото социално - икономическо развитие на градската среда. В този смисъл, наред с изпълнението на основните планирани дейности, проектът предвижда провеждането на предпроектни проучвания за възможностите за надграждане и допълнително развитие на BRT системата в две основни посоки; </w:t>
      </w:r>
    </w:p>
    <w:p>
      <w:pPr>
        <w:pStyle w:val="Default"/>
        <w:rPr/>
      </w:pPr>
      <w:r>
        <w:rPr/>
        <w:t xml:space="preserve">- възможности за проектиране и изграждане на градска трамвайна линия и/ или </w:t>
      </w:r>
    </w:p>
    <w:p>
      <w:pPr>
        <w:pStyle w:val="Default"/>
        <w:rPr/>
      </w:pPr>
      <w:r>
        <w:rPr/>
        <w:t xml:space="preserve">- възможности за интегриране и надграждане на изградената BRT линия в съответствие с други мащабни инвестиционни намерения на Община Бургас в процес на разработване, като проекта за изграждане на зона за обществен достъп (Проектът "Супер Бургас"). </w:t>
      </w:r>
    </w:p>
    <w:p>
      <w:pPr>
        <w:pStyle w:val="Normal"/>
        <w:suppressAutoHyphens w:val="false"/>
        <w:autoSpaceDE w:val="false"/>
        <w:spacing w:lineRule="auto" w:line="240"/>
        <w:ind w:firstLine="567"/>
        <w:rPr/>
      </w:pPr>
      <w:r>
        <w:rPr/>
        <w:t>Като част от предпроектното проучване е необходимо да се разгледа и възможността за въвеждане на интелигентна и интегрирана система за управление на трафика в градската среда, която да обхваща всички видове транспорт и начини на придвижване. Изграждането на интегрирана система за контрол и управление на обществения транспорт по проекта ще се разглежда като основа за въвеждане на цялостна и единна система за управление на трафика. Проучването ще идентифицира средносрочни и дългосрочни цели в политиката за развитие на транспорта в Община Бургас във всичките му аспекти: пътна инфраструктура, сигнализация и маркировка, управление на паркингови зони, превенция и управление на риска, комуникационни системи и др.</w:t>
      </w:r>
    </w:p>
    <w:p>
      <w:pPr>
        <w:pStyle w:val="Default"/>
        <w:rPr/>
      </w:pPr>
      <w:r>
        <w:rPr/>
        <w:t xml:space="preserve">Основна част от проучването са и възможностите и изискванията на нормативната база за изграждане на подобна интегрирана ситема за контрол и управление на трафика. </w:t>
      </w:r>
    </w:p>
    <w:p>
      <w:pPr>
        <w:pStyle w:val="Default"/>
        <w:rPr/>
      </w:pPr>
      <w:r>
        <w:rPr/>
      </w:r>
    </w:p>
    <w:p>
      <w:pPr>
        <w:pStyle w:val="Default"/>
        <w:rPr>
          <w:b/>
          <w:b/>
          <w:bCs/>
        </w:rPr>
      </w:pPr>
      <w:r>
        <w:rPr>
          <w:b/>
          <w:bCs/>
        </w:rPr>
        <w:t xml:space="preserve">6.2. Предпроектни проучвания и концепция за изграждане на буферни паркинги в ключови зони на града </w:t>
      </w:r>
    </w:p>
    <w:p>
      <w:pPr>
        <w:pStyle w:val="Default"/>
        <w:rPr/>
      </w:pPr>
      <w:r>
        <w:rPr/>
        <w:t xml:space="preserve">Планирането и реализацията на Проекта за интегриран градски транспорт на Бургас се осъществява паралелно с въвеждането на конкретни мерки за разрешаване на проблемите, свързани с местата за паркиране в централна градска част и гъсто застроените жилищни комплекси. Като допълнителен принос за успешното осъществяване на проекта се разглежда необходимостта от изграждане на буферни паркинги на ключови места в града, които да осъществяват непосредствена връзка с маршрута на бързата автобусна линия. </w:t>
      </w:r>
    </w:p>
    <w:p>
      <w:pPr>
        <w:pStyle w:val="Default"/>
        <w:rPr/>
      </w:pPr>
      <w:r>
        <w:rPr/>
        <w:t xml:space="preserve">Предвижданото по проекта предпроектно проучване за изграждане на буферни паркинги включва: </w:t>
      </w:r>
    </w:p>
    <w:p>
      <w:pPr>
        <w:pStyle w:val="Default"/>
        <w:rPr/>
      </w:pPr>
      <w:r>
        <w:rPr/>
        <w:t xml:space="preserve">- идентифициране на условия и предпоставки за успешна реализация на мерките за изграждане на буферни паркинги; </w:t>
      </w:r>
    </w:p>
    <w:p>
      <w:pPr>
        <w:pStyle w:val="Default"/>
        <w:rPr/>
      </w:pPr>
      <w:r>
        <w:rPr/>
        <w:t xml:space="preserve">- потенциални места и разположение на буферните паркинги в контактни с BRT линията зони; </w:t>
      </w:r>
    </w:p>
    <w:p>
      <w:pPr>
        <w:pStyle w:val="Default"/>
        <w:rPr/>
      </w:pPr>
      <w:r>
        <w:rPr/>
        <w:t xml:space="preserve">- разработване на концепция за организация и управление на буферните паркинги. </w:t>
      </w:r>
    </w:p>
    <w:p>
      <w:pPr>
        <w:pStyle w:val="Default"/>
        <w:rPr/>
      </w:pPr>
      <w:r>
        <w:rPr/>
      </w:r>
    </w:p>
    <w:p>
      <w:pPr>
        <w:pStyle w:val="Default"/>
        <w:rPr/>
      </w:pPr>
      <w:r>
        <w:rPr/>
      </w:r>
    </w:p>
    <w:p>
      <w:pPr>
        <w:pStyle w:val="Default"/>
        <w:rPr/>
      </w:pPr>
      <w:r>
        <w:rPr/>
      </w:r>
    </w:p>
    <w:p>
      <w:pPr>
        <w:pStyle w:val="Default"/>
        <w:rPr>
          <w:b/>
          <w:b/>
          <w:bCs/>
        </w:rPr>
      </w:pPr>
      <w:r>
        <w:rPr>
          <w:b/>
          <w:bCs/>
        </w:rPr>
        <w:t xml:space="preserve">6.3. Предпроектни проучвания и концепция за автобусен терминал за междуселищен транспорт </w:t>
      </w:r>
    </w:p>
    <w:p>
      <w:pPr>
        <w:pStyle w:val="Default"/>
        <w:rPr/>
      </w:pPr>
      <w:r>
        <w:rPr/>
        <w:t xml:space="preserve">Предпроектното проучване има за цел да идентифицира подходящо местоположение, функционални характеристики, концепция и изисквания за ефективност, безопасност, достъпност и необходим капацитет за бъдещ терминал за междуселищни автобуси в град Бургас. Нарастващите метрополисни функции на града, географското му местоположение и комуникационна инфраструктура налагат необходимостта от обвързване на концепцията за модернизация на обществения градски транспорт с развитие на подходяща инфраструктура обслужваща транспортните връзки с прилежащите селища и други големи градски центрове в страната. </w:t>
      </w:r>
    </w:p>
    <w:p>
      <w:pPr>
        <w:pStyle w:val="Default"/>
        <w:rPr/>
      </w:pPr>
      <w:r>
        <w:rPr/>
        <w:t xml:space="preserve">Проучването ще обхваща два основни етапа: </w:t>
      </w:r>
    </w:p>
    <w:p>
      <w:pPr>
        <w:pStyle w:val="Default"/>
        <w:rPr/>
      </w:pPr>
      <w:r>
        <w:rPr/>
        <w:t xml:space="preserve">- дефиниране на функциите и идентифициране на потенциални места за изграждане на междуселищен терминал; </w:t>
      </w:r>
    </w:p>
    <w:p>
      <w:pPr>
        <w:pStyle w:val="Default"/>
        <w:rPr/>
      </w:pPr>
      <w:r>
        <w:rPr/>
        <w:t xml:space="preserve">- скрийниг и оценка на потенциалните места за изграждане на междуселищния терминал по отношение на капацитет за разширяване, целесъобразност, необходими инвестиции, природосъобразност и др. и разработване на концепция. </w:t>
      </w:r>
    </w:p>
    <w:p>
      <w:pPr>
        <w:pStyle w:val="Default"/>
        <w:rPr/>
      </w:pPr>
      <w:r>
        <w:rPr/>
        <w:t xml:space="preserve">. </w:t>
      </w:r>
    </w:p>
    <w:p>
      <w:pPr>
        <w:pStyle w:val="Default"/>
        <w:rPr>
          <w:b/>
          <w:b/>
          <w:bCs/>
        </w:rPr>
      </w:pPr>
      <w:r>
        <w:rPr>
          <w:b/>
          <w:bCs/>
        </w:rPr>
        <w:t xml:space="preserve">Работен пакет 7. Организация и управление на проекта </w:t>
      </w:r>
    </w:p>
    <w:p>
      <w:pPr>
        <w:pStyle w:val="Default"/>
        <w:rPr>
          <w:b/>
          <w:b/>
          <w:bCs/>
        </w:rPr>
      </w:pPr>
      <w:r>
        <w:rPr>
          <w:b/>
          <w:bCs/>
        </w:rPr>
      </w:r>
    </w:p>
    <w:p>
      <w:pPr>
        <w:pStyle w:val="Normal"/>
        <w:suppressAutoHyphens w:val="false"/>
        <w:autoSpaceDE w:val="false"/>
        <w:spacing w:lineRule="auto" w:line="240"/>
        <w:rPr>
          <w:b/>
          <w:b/>
          <w:bCs/>
        </w:rPr>
      </w:pPr>
      <w:r>
        <w:rPr>
          <w:b/>
          <w:bCs/>
        </w:rPr>
        <w:t>7.1. Управление и изпълнение на проекта</w:t>
      </w:r>
    </w:p>
    <w:p>
      <w:pPr>
        <w:pStyle w:val="Default"/>
        <w:rPr/>
      </w:pPr>
      <w:r>
        <w:rPr/>
        <w:t xml:space="preserve">Изпълнение на проекта, Ръководител проект и Съветник по политики на обществения транспорт, както и трети страни – експерти и външни изпълнители, ангажирани с изпълнението на основните проектни дейности. </w:t>
      </w:r>
    </w:p>
    <w:p>
      <w:pPr>
        <w:pStyle w:val="Default"/>
        <w:rPr/>
      </w:pPr>
      <w:r>
        <w:rPr>
          <w:b/>
          <w:bCs/>
        </w:rPr>
        <w:t xml:space="preserve">Комитетът за управление на проекта </w:t>
      </w:r>
      <w:r>
        <w:rPr/>
        <w:t xml:space="preserve">се ръководи от кмета на Обшина Бургас и се състои от ресорните заместник - кметове в общината, главен архитект и представители на общинската фирма - превозвач "Бургасбус" ЕООД и Ръководителя на проекта. Комитетът съгласува, контролира и приема извършените по проекта дейности, взима управленски решения и гарантира интегрирането на проекта с общата и секторните политики на общината. </w:t>
      </w:r>
    </w:p>
    <w:p>
      <w:pPr>
        <w:pStyle w:val="Default"/>
        <w:rPr/>
      </w:pPr>
      <w:r>
        <w:rPr/>
        <w:t xml:space="preserve">Основните функции на </w:t>
      </w:r>
      <w:r>
        <w:rPr>
          <w:b/>
          <w:bCs/>
        </w:rPr>
        <w:t xml:space="preserve">Съветника по политики на обществения транспорт </w:t>
      </w:r>
      <w:r>
        <w:rPr/>
        <w:t xml:space="preserve">са свързани с консултиране на Комитета за управление на проекта в процеса на взимане на управленчески решения по отношение на съответствието на изпълнението на проекта с общата политика и приоритети в областта на транспорта в Община Бургас. </w:t>
      </w:r>
    </w:p>
    <w:p>
      <w:pPr>
        <w:pStyle w:val="Default"/>
        <w:rPr/>
      </w:pPr>
      <w:r>
        <w:rPr>
          <w:b/>
          <w:bCs/>
        </w:rPr>
        <w:t xml:space="preserve">Ръководителят на проекта, </w:t>
      </w:r>
      <w:r>
        <w:rPr/>
        <w:t xml:space="preserve">избран чрез открита конкурсна процедура в съответствие с изискванията на ПМС 194 ръководи дейност на интегрираното звено за управление на проекта и се отчита пред Комитета за управление на проекта. Той отговаря за цялостното техническо и финансово изпълнение на проекта в съответствие с предварително заложените индикатори, резултати и поставени цели. </w:t>
      </w:r>
    </w:p>
    <w:p>
      <w:pPr>
        <w:pStyle w:val="Default"/>
        <w:rPr/>
      </w:pPr>
      <w:r>
        <w:rPr>
          <w:b/>
          <w:bCs/>
        </w:rPr>
        <w:t xml:space="preserve">Интегрираното звено за изпълнение на проекта </w:t>
      </w:r>
      <w:r>
        <w:rPr/>
        <w:t xml:space="preserve">(ИЗИП) се състои от Ръководител проект, Координатор, технически и административен персонал и ключови експерти. ИЗИП е полуинтегрирана структура, която обединява експерти на външна фирма – консултант, избрана посредством процедура по ЗОП, експерти от общинска администрация – Бургас и общинския оператор „Бургасбус” ЕООД. </w:t>
      </w:r>
    </w:p>
    <w:p>
      <w:pPr>
        <w:pStyle w:val="Default"/>
        <w:rPr/>
      </w:pPr>
      <w:r>
        <w:rPr/>
      </w:r>
    </w:p>
    <w:p>
      <w:pPr>
        <w:pStyle w:val="Default"/>
        <w:rPr>
          <w:b/>
          <w:b/>
          <w:bCs/>
        </w:rPr>
      </w:pPr>
      <w:r>
        <w:rPr>
          <w:b/>
          <w:bCs/>
        </w:rPr>
        <w:t xml:space="preserve">7.2. Подготовка и провеждане на процедури за възлагане на обществени поръчки за избор на изпълнители </w:t>
      </w:r>
    </w:p>
    <w:p>
      <w:pPr>
        <w:pStyle w:val="Default"/>
        <w:rPr/>
      </w:pPr>
      <w:r>
        <w:rPr/>
        <w:t xml:space="preserve">Дейността включва подготовка на тръжна документация за избор на изпълнители на основните дейности по проекта: </w:t>
      </w:r>
    </w:p>
    <w:p>
      <w:pPr>
        <w:pStyle w:val="Default"/>
        <w:rPr/>
      </w:pPr>
      <w:r>
        <w:rPr/>
        <w:t xml:space="preserve">- избор на външна фирма - консултант за изпълнение на проекта - Интегрирано звено за изпълнение на проекта; </w:t>
      </w:r>
    </w:p>
    <w:p>
      <w:pPr>
        <w:pStyle w:val="Default"/>
        <w:rPr/>
      </w:pPr>
      <w:r>
        <w:rPr/>
        <w:t xml:space="preserve">- избор на фирма - доставчик на автобуси; </w:t>
      </w:r>
    </w:p>
    <w:p>
      <w:pPr>
        <w:pStyle w:val="Default"/>
        <w:rPr/>
      </w:pPr>
      <w:r>
        <w:rPr/>
        <w:t xml:space="preserve">- избор на изпълнители за изготвяне на технически инвестиционни проекти за реконструкция и модернизация на автобусно депо и работилница, дизел и метан станция, за пешеходни надлези и система от веломаршрути, за ситема от бързи автобусни линии /BRT/, автобусен терминал до ж.п.гара и терминал в ж.к. Меден Рудник </w:t>
      </w:r>
    </w:p>
    <w:p>
      <w:pPr>
        <w:pStyle w:val="Default"/>
        <w:rPr/>
      </w:pPr>
      <w:r>
        <w:rPr/>
        <w:t xml:space="preserve">- избор на изпълнители на строително - монтажни работи за обекти: реконструкция и модернизация на автобусно депо и работилница, дизел и метан станция, въвеждане на система на бърз автобусен транспорт, Централна автобусна спирка и светофарна система с приоритет за атобуси, пешеходни надлези, автогара Юг, велосипедни съоръжения, автобусен терминал в жилищен комплекс "Меден Рудник"; - избор на фирми - изпълнители на авторски и строителен надзор; </w:t>
      </w:r>
    </w:p>
    <w:p>
      <w:pPr>
        <w:pStyle w:val="Default"/>
        <w:rPr/>
      </w:pPr>
      <w:r>
        <w:rPr/>
        <w:t xml:space="preserve">- избор на фирми - доставчици за оборудване за Интегрирана билетна система, система за информиране на пътниците в реално време, система за управление и контрол на обществения транспорт, система за видеонаблюдение; </w:t>
      </w:r>
    </w:p>
    <w:p>
      <w:pPr>
        <w:pStyle w:val="Default"/>
        <w:rPr/>
      </w:pPr>
      <w:r>
        <w:rPr/>
        <w:t xml:space="preserve">- избор на изпълнител за изготвяне на предпроектни проучвания и концепция за интегрирана система за управление на трафика и надграждане на BRT системата, изграждане на буферни паркинги в ключови зони на града, автобусен терминал за междуселищен транспорт; </w:t>
      </w:r>
    </w:p>
    <w:p>
      <w:pPr>
        <w:pStyle w:val="Default"/>
        <w:rPr/>
      </w:pPr>
      <w:r>
        <w:rPr/>
        <w:t xml:space="preserve">- избор на изпълнител на независим финансов одит по проекта; </w:t>
      </w:r>
    </w:p>
    <w:p>
      <w:pPr>
        <w:pStyle w:val="Default"/>
        <w:rPr/>
      </w:pPr>
      <w:r>
        <w:rPr/>
        <w:t xml:space="preserve">- избор на изпълнител – публичност и информационна кампания. </w:t>
      </w:r>
    </w:p>
    <w:p>
      <w:pPr>
        <w:pStyle w:val="Default"/>
        <w:rPr/>
      </w:pPr>
      <w:r>
        <w:rPr/>
      </w:r>
    </w:p>
    <w:p>
      <w:pPr>
        <w:pStyle w:val="Default"/>
        <w:rPr>
          <w:b/>
          <w:b/>
          <w:bCs/>
        </w:rPr>
      </w:pPr>
      <w:r>
        <w:rPr>
          <w:b/>
          <w:bCs/>
        </w:rPr>
        <w:t xml:space="preserve">7.3. Независим одит на финансовите разходи и изпълнението на дейностите по проекта </w:t>
      </w:r>
    </w:p>
    <w:p>
      <w:pPr>
        <w:pStyle w:val="Default"/>
        <w:rPr/>
      </w:pPr>
      <w:r>
        <w:rPr/>
        <w:t xml:space="preserve">Независимият финансов одит ще бъде извършен от избрана линцензирана одиторска фирма. Одитът има за цел чрез съвкупност от необходими и взаимосвързани процедури, определени от Международните одиторски стандарти, да изрази независимо мнение относно достоверността във всички аспекти на същественост на финансовите отчети, изготвени в съответствие с българското счетоводно законодателство при осъществяването на проекта. Проектното предложение предвижда изготвянето на междинни гофишни и финален одиторски доклад. </w:t>
      </w:r>
    </w:p>
    <w:p>
      <w:pPr>
        <w:pStyle w:val="Default"/>
        <w:rPr/>
      </w:pPr>
      <w:r>
        <w:rPr/>
      </w:r>
    </w:p>
    <w:p>
      <w:pPr>
        <w:pStyle w:val="Default"/>
        <w:rPr>
          <w:b/>
          <w:b/>
          <w:bCs/>
        </w:rPr>
      </w:pPr>
      <w:r>
        <w:rPr>
          <w:b/>
          <w:bCs/>
        </w:rPr>
        <w:t xml:space="preserve">Работен пакет 8. Популяризиране и визуализация на проектните дейности </w:t>
      </w:r>
    </w:p>
    <w:p>
      <w:pPr>
        <w:pStyle w:val="Default"/>
        <w:rPr/>
      </w:pPr>
      <w:r>
        <w:rPr/>
        <w:t xml:space="preserve">Предвидените по проекта дейности включват няколко основни пакета от мерки, свързани с визуализация и популяризиране на целите и резултатите по проекта: </w:t>
      </w:r>
    </w:p>
    <w:p>
      <w:pPr>
        <w:pStyle w:val="Default"/>
        <w:rPr/>
      </w:pPr>
      <w:r>
        <w:rPr/>
        <w:t xml:space="preserve">- мерки за информация и публичност за популяризиране на целите на проекта и финансовия принос на ЕФРР и Оперативната програма „Регионално развитие 2007 – 2013”: разработване и разпространение на информационни материали, организиране на пресконференции и публични събития; </w:t>
      </w:r>
    </w:p>
    <w:p>
      <w:pPr>
        <w:pStyle w:val="Default"/>
        <w:rPr/>
      </w:pPr>
      <w:r>
        <w:rPr/>
        <w:t xml:space="preserve">- мерки за информиране и публичност по време на строителните работи – инсталиране на билбордове и постоянни информационни табели в съответствие с изискванията на насоките за публичност на Оперативната програма; </w:t>
      </w:r>
    </w:p>
    <w:p>
      <w:pPr>
        <w:pStyle w:val="Default"/>
        <w:rPr/>
      </w:pPr>
      <w:r>
        <w:rPr/>
        <w:t xml:space="preserve">- разработване и провеждане на кампания за информиране на обществеността за приноса на ЕС и популяризиране на обществения транспорт, включваща публични мероприятия, информационни павилиони на ключови места из града, информационни брошури за BRT системата и услугата, разпространение на карти на маршрута на BRT, изработване на Интернет страница за услугите, предлагани в системата на градския транспорт; </w:t>
      </w:r>
    </w:p>
    <w:p>
      <w:pPr>
        <w:pStyle w:val="Normal"/>
        <w:suppressAutoHyphens w:val="false"/>
        <w:autoSpaceDE w:val="false"/>
        <w:spacing w:lineRule="auto" w:line="240"/>
        <w:ind w:firstLine="567"/>
        <w:rPr>
          <w:sz w:val="23"/>
          <w:szCs w:val="23"/>
        </w:rPr>
      </w:pPr>
      <w:r>
        <w:rPr/>
        <w:t>- информационна кампания в местни, регионални и национални медии – публикации, радио и телевизионни предавания, регулярна информация на Интернет страницата на Община Бургас.</w:t>
      </w:r>
    </w:p>
    <w:p>
      <w:pPr>
        <w:pStyle w:val="Normal"/>
        <w:rPr>
          <w:sz w:val="23"/>
          <w:szCs w:val="23"/>
        </w:rPr>
      </w:pPr>
      <w:r>
        <w:rPr>
          <w:sz w:val="23"/>
          <w:szCs w:val="23"/>
        </w:rPr>
      </w:r>
    </w:p>
    <w:p>
      <w:pPr>
        <w:pStyle w:val="Normal"/>
        <w:rPr/>
      </w:pPr>
      <w:r>
        <w:rPr/>
      </w:r>
    </w:p>
    <w:p>
      <w:pPr>
        <w:pStyle w:val="Normal"/>
        <w:rPr/>
      </w:pPr>
      <w:r>
        <w:rPr/>
      </w:r>
    </w:p>
    <w:p>
      <w:pPr>
        <w:pStyle w:val="Normal"/>
        <w:rPr/>
      </w:pPr>
      <w:r>
        <w:rPr/>
      </w:r>
    </w:p>
    <w:p>
      <w:pPr>
        <w:pStyle w:val="Heading1"/>
        <w:rPr>
          <w:rStyle w:val="StrongEmphasis"/>
          <w:rFonts w:ascii="Times New Roman" w:hAnsi="Times New Roman" w:cs="Times New Roman"/>
          <w:b w:val="false"/>
          <w:b w:val="false"/>
          <w:i/>
          <w:i/>
          <w:color w:val="000000"/>
          <w:sz w:val="40"/>
          <w:szCs w:val="40"/>
        </w:rPr>
      </w:pPr>
      <w:bookmarkStart w:id="11" w:name="__RefHeading___Toc346652119"/>
      <w:bookmarkEnd w:id="11"/>
      <w:r>
        <w:rPr>
          <w:rFonts w:eastAsia="Calibri" w:cs="Times New Roman" w:ascii="Times New Roman" w:hAnsi="Times New Roman"/>
          <w:b w:val="false"/>
          <w:i/>
          <w:color w:val="000000"/>
          <w:sz w:val="40"/>
          <w:szCs w:val="40"/>
        </w:rPr>
        <w:t>Мрежови график на проекта</w:t>
      </w:r>
      <w:r>
        <w:rPr>
          <w:rStyle w:val="StrongEmphasis"/>
          <w:rFonts w:cs="Times New Roman" w:ascii="Times New Roman" w:hAnsi="Times New Roman"/>
          <w:b w:val="false"/>
          <w:i/>
          <w:color w:val="000000"/>
          <w:sz w:val="40"/>
          <w:szCs w:val="40"/>
        </w:rPr>
        <w:t>:</w:t>
      </w:r>
    </w:p>
    <w:p>
      <w:pPr>
        <w:pStyle w:val="Normal"/>
        <w:rPr>
          <w:rStyle w:val="StrongEmphasis"/>
          <w:rFonts w:ascii="Times New Roman" w:hAnsi="Times New Roman" w:cs="Times New Roman"/>
          <w:b/>
          <w:b/>
          <w:i/>
          <w:i/>
          <w:color w:val="000000"/>
          <w:sz w:val="40"/>
          <w:szCs w:val="40"/>
        </w:rPr>
      </w:pPr>
      <w:r>
        <w:rPr/>
      </w:r>
    </w:p>
    <w:p>
      <w:pPr>
        <w:pStyle w:val="Normal"/>
        <w:rPr/>
      </w:pPr>
      <w:r>
        <w:rPr/>
      </w:r>
    </w:p>
    <w:p>
      <w:pPr>
        <w:pStyle w:val="Normal"/>
        <w:rPr/>
      </w:pPr>
      <w:r>
        <w:rPr/>
        <w:t>Организация и управление на проекта – А</w:t>
      </w:r>
    </w:p>
    <w:p>
      <w:pPr>
        <w:pStyle w:val="Normal"/>
        <w:rPr>
          <w:lang w:val="en-US"/>
        </w:rPr>
      </w:pPr>
      <w:r>
        <w:rPr/>
        <w:t>Предпроектни проучвания за надграждане на системата за бърз автобусен транспорт – B</w:t>
      </w:r>
    </w:p>
    <w:p>
      <w:pPr>
        <w:pStyle w:val="Normal"/>
        <w:rPr>
          <w:lang w:val="en-US"/>
        </w:rPr>
      </w:pPr>
      <w:r>
        <w:rPr/>
        <w:t xml:space="preserve">Популяризиране и визуализация на проектните дейности – </w:t>
      </w:r>
      <w:r>
        <w:rPr>
          <w:lang w:val="en-US"/>
        </w:rPr>
        <w:t>C</w:t>
      </w:r>
    </w:p>
    <w:p>
      <w:pPr>
        <w:pStyle w:val="Normal"/>
        <w:rPr>
          <w:lang w:val="en-US"/>
        </w:rPr>
      </w:pPr>
      <w:r>
        <w:rPr/>
        <w:t xml:space="preserve">Изготвяне на технически инвестиционни проекти – </w:t>
      </w:r>
      <w:r>
        <w:rPr>
          <w:lang w:val="en-US"/>
        </w:rPr>
        <w:t>D</w:t>
      </w:r>
    </w:p>
    <w:p>
      <w:pPr>
        <w:pStyle w:val="Normal"/>
        <w:rPr>
          <w:lang w:val="en-US"/>
        </w:rPr>
      </w:pPr>
      <w:r>
        <w:rPr/>
        <w:t xml:space="preserve">Обновяване на автобусния парк – </w:t>
      </w:r>
      <w:r>
        <w:rPr>
          <w:lang w:val="en-US"/>
        </w:rPr>
        <w:t>E</w:t>
      </w:r>
    </w:p>
    <w:p>
      <w:pPr>
        <w:pStyle w:val="Normal"/>
        <w:rPr>
          <w:lang w:val="en-US"/>
        </w:rPr>
      </w:pPr>
      <w:r>
        <w:rPr/>
        <w:t xml:space="preserve">Реконструкция и модернизация на инфраструктурата – </w:t>
      </w:r>
      <w:r>
        <w:rPr>
          <w:lang w:val="en-US"/>
        </w:rPr>
        <w:t>F</w:t>
      </w:r>
    </w:p>
    <w:p>
      <w:pPr>
        <w:pStyle w:val="Normal"/>
        <w:rPr>
          <w:lang w:val="en-US"/>
        </w:rPr>
      </w:pPr>
      <w:r>
        <w:rPr/>
        <w:t xml:space="preserve">Строителен и авторски надзор по време на строителството – </w:t>
      </w:r>
      <w:r>
        <w:rPr>
          <w:lang w:val="en-US"/>
        </w:rPr>
        <w:t>G</w:t>
      </w:r>
    </w:p>
    <w:p>
      <w:pPr>
        <w:pStyle w:val="Normal"/>
        <w:rPr/>
      </w:pPr>
      <w:r>
        <w:rPr/>
        <w:t xml:space="preserve">Въвеждане на интегрирана система за управление на обществения транспорт – </w:t>
      </w:r>
      <w:r>
        <w:rPr>
          <w:lang w:val="en-US"/>
        </w:rPr>
        <w:t>H</w:t>
      </w:r>
    </w:p>
    <w:p>
      <w:pPr>
        <w:pStyle w:val="Normal"/>
        <w:rPr>
          <w:lang w:val="en-US"/>
        </w:rPr>
      </w:pPr>
      <w:r>
        <w:rPr>
          <w:lang w:val="en-US"/>
        </w:rPr>
      </w:r>
    </w:p>
    <w:tbl>
      <w:tblPr>
        <w:tblW w:w="6490" w:type="dxa"/>
        <w:jc w:val="left"/>
        <w:tblInd w:w="-113" w:type="dxa"/>
        <w:tblCellMar>
          <w:top w:w="0" w:type="dxa"/>
          <w:left w:w="108" w:type="dxa"/>
          <w:bottom w:w="0" w:type="dxa"/>
          <w:right w:w="108" w:type="dxa"/>
        </w:tblCellMar>
      </w:tblPr>
      <w:tblGrid>
        <w:gridCol w:w="2160"/>
        <w:gridCol w:w="2160"/>
        <w:gridCol w:w="2170"/>
      </w:tblGrid>
      <w:tr>
        <w:trPr/>
        <w:tc>
          <w:tcPr>
            <w:tcW w:w="2160" w:type="dxa"/>
            <w:tcBorders>
              <w:top w:val="single" w:sz="4" w:space="0" w:color="000000"/>
              <w:left w:val="single" w:sz="4" w:space="0" w:color="000000"/>
              <w:bottom w:val="single" w:sz="4" w:space="0" w:color="000000"/>
            </w:tcBorders>
            <w:shd w:fill="auto" w:val="clear"/>
          </w:tcPr>
          <w:p>
            <w:pPr>
              <w:pStyle w:val="Normal"/>
              <w:rPr/>
            </w:pPr>
            <w:r>
              <w:rPr/>
              <w:t>Работа</w:t>
            </w:r>
          </w:p>
        </w:tc>
        <w:tc>
          <w:tcPr>
            <w:tcW w:w="2160" w:type="dxa"/>
            <w:tcBorders>
              <w:top w:val="single" w:sz="4" w:space="0" w:color="000000"/>
              <w:left w:val="single" w:sz="4" w:space="0" w:color="000000"/>
              <w:bottom w:val="single" w:sz="4" w:space="0" w:color="000000"/>
            </w:tcBorders>
            <w:shd w:fill="auto" w:val="clear"/>
          </w:tcPr>
          <w:p>
            <w:pPr>
              <w:pStyle w:val="Normal"/>
              <w:rPr/>
            </w:pPr>
            <w:r>
              <w:rPr/>
              <w:t>Предшестващи работи</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pPr>
            <w:r>
              <w:rPr/>
              <w:t>Продължителност</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A</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12</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B</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5</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C</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A</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8</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D</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A</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7</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E</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B</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6</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F</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C</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10</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G</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D, E</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10</w:t>
            </w:r>
          </w:p>
        </w:tc>
      </w:tr>
      <w:tr>
        <w:trPr/>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H</w:t>
            </w:r>
          </w:p>
        </w:tc>
        <w:tc>
          <w:tcPr>
            <w:tcW w:w="2160" w:type="dxa"/>
            <w:tcBorders>
              <w:top w:val="single" w:sz="4" w:space="0" w:color="000000"/>
              <w:left w:val="single" w:sz="4" w:space="0" w:color="000000"/>
              <w:bottom w:val="single" w:sz="4" w:space="0" w:color="000000"/>
            </w:tcBorders>
            <w:shd w:fill="auto" w:val="clear"/>
          </w:tcPr>
          <w:p>
            <w:pPr>
              <w:pStyle w:val="Normal"/>
              <w:rPr>
                <w:lang w:val="en-US"/>
              </w:rPr>
            </w:pPr>
            <w:r>
              <w:rPr>
                <w:lang w:val="en-US"/>
              </w:rPr>
              <w:t>F,G</w:t>
            </w:r>
          </w:p>
        </w:tc>
        <w:tc>
          <w:tcPr>
            <w:tcW w:w="2170" w:type="dxa"/>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6</w:t>
            </w:r>
          </w:p>
        </w:tc>
      </w:tr>
    </w:tbl>
    <w:p>
      <w:pPr>
        <w:pStyle w:val="Normal"/>
        <w:rPr>
          <w:lang w:val="en-US"/>
        </w:rPr>
      </w:pPr>
      <w:r>
        <w:rPr>
          <w:lang w:val="en-US"/>
        </w:rPr>
      </w:r>
    </w:p>
    <w:p>
      <w:pPr>
        <w:pStyle w:val="Normal"/>
        <w:rPr>
          <w:lang w:val="en-US"/>
        </w:rPr>
      </w:pPr>
      <w:r>
        <w:rPr>
          <w:lang w:val="en-US"/>
        </w:rPr>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20">
                <wp:simplePos x="0" y="0"/>
                <wp:positionH relativeFrom="column">
                  <wp:posOffset>1061085</wp:posOffset>
                </wp:positionH>
                <wp:positionV relativeFrom="paragraph">
                  <wp:posOffset>145415</wp:posOffset>
                </wp:positionV>
                <wp:extent cx="743585" cy="809625"/>
                <wp:effectExtent l="0" t="0" r="0" b="0"/>
                <wp:wrapNone/>
                <wp:docPr id="16" name=""/>
                <a:graphic xmlns:a="http://schemas.openxmlformats.org/drawingml/2006/main">
                  <a:graphicData uri="http://schemas.microsoft.com/office/word/2010/wordprocessingShape">
                    <wps:wsp>
                      <wps:cNvSpPr/>
                      <wps:spPr>
                        <a:xfrm>
                          <a:off x="0" y="0"/>
                          <a:ext cx="743040" cy="80892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1     0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12  12 1212</w:t>
                            </w:r>
                          </w:p>
                        </w:txbxContent>
                      </wps:txbx>
                      <wps:bodyPr>
                        <a:noAutofit/>
                      </wps:bodyPr>
                    </wps:wsp>
                  </a:graphicData>
                </a:graphic>
              </wp:anchor>
            </w:drawing>
          </mc:Choice>
          <mc:Fallback>
            <w:pict>
              <v:oval id="shape_0" fillcolor="white" stroked="t" style="position:absolute;margin-left:83.55pt;margin-top:11.45pt;width:58.45pt;height:63.65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1     0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12  12 1212</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23">
                <wp:simplePos x="0" y="0"/>
                <wp:positionH relativeFrom="column">
                  <wp:posOffset>2566035</wp:posOffset>
                </wp:positionH>
                <wp:positionV relativeFrom="paragraph">
                  <wp:posOffset>57785</wp:posOffset>
                </wp:positionV>
                <wp:extent cx="791210" cy="821690"/>
                <wp:effectExtent l="0" t="0" r="0" b="0"/>
                <wp:wrapNone/>
                <wp:docPr id="17" name=""/>
                <a:graphic xmlns:a="http://schemas.openxmlformats.org/drawingml/2006/main">
                  <a:graphicData uri="http://schemas.microsoft.com/office/word/2010/wordprocessingShape">
                    <wps:wsp>
                      <wps:cNvSpPr/>
                      <wps:spPr>
                        <a:xfrm>
                          <a:off x="0" y="0"/>
                          <a:ext cx="790560" cy="82116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3     0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20  20</w:t>
                            </w:r>
                          </w:p>
                        </w:txbxContent>
                      </wps:txbx>
                      <wps:bodyPr>
                        <a:noAutofit/>
                      </wps:bodyPr>
                    </wps:wsp>
                  </a:graphicData>
                </a:graphic>
              </wp:anchor>
            </w:drawing>
          </mc:Choice>
          <mc:Fallback>
            <w:pict>
              <v:oval id="shape_0" fillcolor="white" stroked="t" style="position:absolute;margin-left:202.05pt;margin-top:4.55pt;width:62.2pt;height:64.6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3     0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20  20</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26">
                <wp:simplePos x="0" y="0"/>
                <wp:positionH relativeFrom="column">
                  <wp:posOffset>1445260</wp:posOffset>
                </wp:positionH>
                <wp:positionV relativeFrom="paragraph">
                  <wp:posOffset>145415</wp:posOffset>
                </wp:positionV>
                <wp:extent cx="1905" cy="734695"/>
                <wp:effectExtent l="0" t="0" r="0" b="0"/>
                <wp:wrapNone/>
                <wp:docPr id="18" name=""/>
                <a:graphic xmlns:a="http://schemas.openxmlformats.org/drawingml/2006/main">
                  <a:graphicData uri="http://schemas.microsoft.com/office/word/2010/wordprocessingShape">
                    <wps:cxnSp>
                      <wps:nvCxnSpPr>
                        <wps:cNvPr id="0" name="Line 1"/>
                        <wps:cNvCxnSpPr/>
                        <wps:nvPr/>
                      </wps:nvCxnSpPr>
                      <wps:spPr>
                        <a:xfrm>
                          <a:off x="0" y="0"/>
                          <a:ext cx="1440" cy="734400"/>
                        </a:xfrm>
                        <a:prstGeom prst="straightConnector1">
                          <a:avLst/>
                        </a:prstGeom>
                        <a:ln w="9360">
                          <a:solidFill>
                            <a:srgbClr val="000000"/>
                          </a:solidFill>
                          <a:miter/>
                        </a:ln>
                      </wps:spPr>
                      <wps:bodyPr/>
                    </wps:cxnSp>
                  </a:graphicData>
                </a:graphic>
              </wp:anchor>
            </w:drawing>
          </mc:Choice>
          <mc:Fallback>
            <w:pict>
              <v:shapetype id="shapetype_32" coordsize="21600,21600" o:spt="32" path="m,l21600,21600nfe">
                <v:stroke joinstyle="miter"/>
                <v:path gradientshapeok="t" o:connecttype="rect" textboxrect="0,0,21600,21600"/>
              </v:shapetype>
              <v:shape id="shape_0" stroked="t" style="position:absolute;margin-left:113.8pt;margin-top:11.45pt;width:0.05pt;height:57.8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28">
                <wp:simplePos x="0" y="0"/>
                <wp:positionH relativeFrom="column">
                  <wp:posOffset>2952115</wp:posOffset>
                </wp:positionH>
                <wp:positionV relativeFrom="paragraph">
                  <wp:posOffset>57785</wp:posOffset>
                </wp:positionV>
                <wp:extent cx="1270" cy="779780"/>
                <wp:effectExtent l="0" t="0" r="0" b="0"/>
                <wp:wrapNone/>
                <wp:docPr id="19" name=""/>
                <a:graphic xmlns:a="http://schemas.openxmlformats.org/drawingml/2006/main">
                  <a:graphicData uri="http://schemas.microsoft.com/office/word/2010/wordprocessingShape">
                    <wps:cxnSp>
                      <wps:nvCxnSpPr>
                        <wps:cNvPr id="1" name="Line 1"/>
                        <wps:cNvCxnSpPr/>
                        <wps:nvPr/>
                      </wps:nvCxnSpPr>
                      <wps:spPr>
                        <a:xfrm>
                          <a:off x="0" y="0"/>
                          <a:ext cx="360" cy="360"/>
                        </a:xfrm>
                        <a:prstGeom prst="straightConnector1">
                          <a:avLst/>
                        </a:prstGeom>
                        <a:ln w="9360">
                          <a:solidFill>
                            <a:srgbClr val="000000"/>
                          </a:solidFill>
                          <a:miter/>
                        </a:ln>
                      </wps:spPr>
                      <wps:bodyPr/>
                    </wps:cxnSp>
                  </a:graphicData>
                </a:graphic>
              </wp:anchor>
            </w:drawing>
          </mc:Choice>
          <mc:Fallback>
            <w:pict>
              <v:shape id="shape_0" stroked="t" style="position:absolute;margin-left:232.45pt;margin-top:4.55pt;width:0pt;height:0pt" type="shapetype_32">
                <v:stroke color="black" weight="9360" joinstyle="miter" endcap="square"/>
                <v:fill o:detectmouseclick="t" on="false"/>
              </v:shape>
            </w:pict>
          </mc:Fallback>
        </mc:AlternateContent>
      </w:r>
    </w:p>
    <w:p>
      <w:pPr>
        <w:pStyle w:val="Normal"/>
        <w:rPr>
          <w:lang w:val="en-US" w:eastAsia="en-US"/>
        </w:rPr>
      </w:pPr>
      <w:r>
        <w:rPr>
          <w:lang w:val="en-US" w:eastAsia="en-US"/>
        </w:rPr>
      </w:r>
      <w:r>
        <mc:AlternateContent>
          <mc:Choice Requires="wps">
            <w:drawing>
              <wp:anchor behindDoc="0" distT="0" distB="0" distL="114935" distR="114935" simplePos="0" locked="0" layoutInCell="1" allowOverlap="1" relativeHeight="50">
                <wp:simplePos x="0" y="0"/>
                <wp:positionH relativeFrom="column">
                  <wp:posOffset>1981835</wp:posOffset>
                </wp:positionH>
                <wp:positionV relativeFrom="paragraph">
                  <wp:posOffset>20955</wp:posOffset>
                </wp:positionV>
                <wp:extent cx="379095" cy="206375"/>
                <wp:effectExtent l="0" t="0" r="0" b="0"/>
                <wp:wrapNone/>
                <wp:docPr id="20" name="Frame2"/>
                <a:graphic xmlns:a="http://schemas.openxmlformats.org/drawingml/2006/main">
                  <a:graphicData uri="http://schemas.microsoft.com/office/word/2010/wordprocessingShape">
                    <wps:wsp>
                      <wps:cNvSpPr txBox="1"/>
                      <wps:spPr>
                        <a:xfrm>
                          <a:off x="0" y="0"/>
                          <a:ext cx="379095" cy="206375"/>
                        </a:xfrm>
                        <a:prstGeom prst="rect"/>
                        <a:solidFill>
                          <a:srgbClr val="FFFFFF"/>
                        </a:solidFill>
                        <a:ln w="9525">
                          <a:solidFill>
                            <a:srgbClr val="000000"/>
                          </a:solidFill>
                        </a:ln>
                      </wps:spPr>
                      <wps:txbx>
                        <w:txbxContent>
                          <w:p>
                            <w:pPr>
                              <w:pStyle w:val="Normal"/>
                              <w:rPr>
                                <w:sz w:val="12"/>
                                <w:szCs w:val="12"/>
                              </w:rPr>
                            </w:pPr>
                            <w:r>
                              <w:rPr>
                                <w:color w:val="000000"/>
                                <w:sz w:val="12"/>
                                <w:szCs w:val="12"/>
                                <w:lang w:val="en-US"/>
                              </w:rPr>
                              <w:t>C =8</w:t>
                            </w:r>
                          </w:p>
                        </w:txbxContent>
                      </wps:txbx>
                      <wps:bodyPr anchor="t" lIns="91440" tIns="45720" rIns="91440" bIns="45720">
                        <a:noAutofit/>
                      </wps:bodyPr>
                    </wps:wsp>
                  </a:graphicData>
                </a:graphic>
              </wp:anchor>
            </w:drawing>
          </mc:Choice>
          <mc:Fallback>
            <w:pict>
              <v:rect fillcolor="#FFFFFF" strokecolor="#000000" strokeweight="0pt" style="position:absolute;rotation:0;width:29.85pt;height:16.25pt;mso-wrap-distance-left:9.05pt;mso-wrap-distance-right:9.05pt;mso-wrap-distance-top:0pt;mso-wrap-distance-bottom:0pt;margin-top:1.65pt;mso-position-vertical-relative:text;margin-left:156.05pt;mso-position-horizontal-relative:text">
                <v:textbox>
                  <w:txbxContent>
                    <w:p>
                      <w:pPr>
                        <w:pStyle w:val="Normal"/>
                        <w:rPr>
                          <w:sz w:val="12"/>
                          <w:szCs w:val="12"/>
                        </w:rPr>
                      </w:pPr>
                      <w:r>
                        <w:rPr>
                          <w:color w:val="000000"/>
                          <w:sz w:val="12"/>
                          <w:szCs w:val="12"/>
                          <w:lang w:val="en-US"/>
                        </w:rPr>
                        <w:t>C =8</w:t>
                      </w:r>
                    </w:p>
                  </w:txbxContent>
                </v:textbox>
              </v:rect>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27">
                <wp:simplePos x="0" y="0"/>
                <wp:positionH relativeFrom="column">
                  <wp:posOffset>1061085</wp:posOffset>
                </wp:positionH>
                <wp:positionV relativeFrom="paragraph">
                  <wp:posOffset>164465</wp:posOffset>
                </wp:positionV>
                <wp:extent cx="744220" cy="1905"/>
                <wp:effectExtent l="0" t="0" r="0" b="0"/>
                <wp:wrapNone/>
                <wp:docPr id="21" name=""/>
                <a:graphic xmlns:a="http://schemas.openxmlformats.org/drawingml/2006/main">
                  <a:graphicData uri="http://schemas.microsoft.com/office/word/2010/wordprocessingShape">
                    <wps:cxnSp>
                      <wps:nvCxnSpPr>
                        <wps:cNvPr id="2" name="Line 1"/>
                        <wps:cNvCxnSpPr/>
                        <wps:nvPr/>
                      </wps:nvCxnSpPr>
                      <wps:spPr>
                        <a:xfrm>
                          <a:off x="0" y="0"/>
                          <a:ext cx="744120" cy="1440"/>
                        </a:xfrm>
                        <a:prstGeom prst="straightConnector1">
                          <a:avLst/>
                        </a:prstGeom>
                        <a:ln w="9360">
                          <a:solidFill>
                            <a:srgbClr val="000000"/>
                          </a:solidFill>
                          <a:miter/>
                        </a:ln>
                      </wps:spPr>
                      <wps:bodyPr/>
                    </wps:cxnSp>
                  </a:graphicData>
                </a:graphic>
              </wp:anchor>
            </w:drawing>
          </mc:Choice>
          <mc:Fallback>
            <w:pict>
              <v:shape id="shape_0" stroked="t" style="position:absolute;margin-left:83.55pt;margin-top:12.95pt;width:58.55pt;height:0.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34">
                <wp:simplePos x="0" y="0"/>
                <wp:positionH relativeFrom="column">
                  <wp:posOffset>2566035</wp:posOffset>
                </wp:positionH>
                <wp:positionV relativeFrom="paragraph">
                  <wp:posOffset>84455</wp:posOffset>
                </wp:positionV>
                <wp:extent cx="791845" cy="1905"/>
                <wp:effectExtent l="0" t="0" r="0" b="0"/>
                <wp:wrapNone/>
                <wp:docPr id="22" name=""/>
                <a:graphic xmlns:a="http://schemas.openxmlformats.org/drawingml/2006/main">
                  <a:graphicData uri="http://schemas.microsoft.com/office/word/2010/wordprocessingShape">
                    <wps:cxnSp>
                      <wps:nvCxnSpPr>
                        <wps:cNvPr id="3" name="Line 1"/>
                        <wps:cNvCxnSpPr/>
                        <wps:nvPr/>
                      </wps:nvCxnSpPr>
                      <wps:spPr>
                        <a:xfrm>
                          <a:off x="0" y="0"/>
                          <a:ext cx="791640" cy="1440"/>
                        </a:xfrm>
                        <a:prstGeom prst="straightConnector1">
                          <a:avLst/>
                        </a:prstGeom>
                        <a:ln w="9360">
                          <a:solidFill>
                            <a:srgbClr val="000000"/>
                          </a:solidFill>
                          <a:miter/>
                        </a:ln>
                      </wps:spPr>
                      <wps:bodyPr/>
                    </wps:cxnSp>
                  </a:graphicData>
                </a:graphic>
              </wp:anchor>
            </w:drawing>
          </mc:Choice>
          <mc:Fallback>
            <w:pict>
              <v:shape id="shape_0" stroked="t" style="position:absolute;margin-left:202.05pt;margin-top:6.65pt;width:62.3pt;height:0.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39">
                <wp:simplePos x="0" y="0"/>
                <wp:positionH relativeFrom="column">
                  <wp:posOffset>1756410</wp:posOffset>
                </wp:positionH>
                <wp:positionV relativeFrom="paragraph">
                  <wp:posOffset>84455</wp:posOffset>
                </wp:positionV>
                <wp:extent cx="810895" cy="81280"/>
                <wp:effectExtent l="0" t="0" r="0" b="0"/>
                <wp:wrapNone/>
                <wp:docPr id="23" name=""/>
                <a:graphic xmlns:a="http://schemas.openxmlformats.org/drawingml/2006/main">
                  <a:graphicData uri="http://schemas.microsoft.com/office/word/2010/wordprocessingShape">
                    <wps:cxnSp>
                      <wps:nvCxnSpPr>
                        <wps:cNvPr id="4" name="Line 1"/>
                        <wps:cNvCxnSpPr/>
                        <wps:nvPr/>
                      </wps:nvCxnSpPr>
                      <wps:spPr>
                        <a:xfrm>
                          <a:off x="0" y="0"/>
                          <a:ext cx="810720" cy="8100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138.3pt;margin-top:6.65pt;width:63.8pt;height:6.35pt" type="shapetype_32">
                <v:stroke color="black" weight="9360" endarrow="block" endarrowwidth="medium" endarrowlength="medium" joinstyle="miter" endcap="square"/>
                <v:fill o:detectmouseclick="t" on="false"/>
              </v:shape>
            </w:pict>
          </mc:Fallback>
        </mc:AlternateContent>
        <mc:AlternateContent>
          <mc:Choice Requires="wps">
            <w:drawing>
              <wp:anchor behindDoc="0" distT="0" distB="0" distL="114935" distR="114935" simplePos="0" locked="0" layoutInCell="1" allowOverlap="1" relativeHeight="46">
                <wp:simplePos x="0" y="0"/>
                <wp:positionH relativeFrom="column">
                  <wp:posOffset>1870710</wp:posOffset>
                </wp:positionH>
                <wp:positionV relativeFrom="paragraph">
                  <wp:posOffset>164465</wp:posOffset>
                </wp:positionV>
                <wp:extent cx="592455" cy="60325"/>
                <wp:effectExtent l="0" t="0" r="0" b="0"/>
                <wp:wrapNone/>
                <wp:docPr id="24" name=""/>
                <a:graphic xmlns:a="http://schemas.openxmlformats.org/drawingml/2006/main">
                  <a:graphicData uri="http://schemas.microsoft.com/office/word/2010/wordprocessingShape">
                    <wps:cxnSp>
                      <wps:nvCxnSpPr>
                        <wps:cNvPr id="5" name="Line 1"/>
                        <wps:cNvCxnSpPr/>
                        <wps:nvPr/>
                      </wps:nvCxnSpPr>
                      <wps:spPr>
                        <a:xfrm>
                          <a:off x="0" y="0"/>
                          <a:ext cx="592200" cy="60120"/>
                        </a:xfrm>
                        <a:prstGeom prst="straightConnector1">
                          <a:avLst/>
                        </a:prstGeom>
                        <a:ln w="9360">
                          <a:solidFill>
                            <a:srgbClr val="000000"/>
                          </a:solidFill>
                          <a:miter/>
                        </a:ln>
                      </wps:spPr>
                      <wps:bodyPr/>
                    </wps:cxnSp>
                  </a:graphicData>
                </a:graphic>
              </wp:anchor>
            </w:drawing>
          </mc:Choice>
          <mc:Fallback>
            <w:pict>
              <v:shape id="shape_0" stroked="t" style="position:absolute;margin-left:147.3pt;margin-top:12.95pt;width:46.6pt;height:4.7pt" type="shapetype_32">
                <v:stroke color="black" weight="9360" joinstyle="miter" endcap="square"/>
                <v:fill o:detectmouseclick="t" on="false"/>
              </v:shape>
            </w:pict>
          </mc:Fallback>
        </mc:AlternateContent>
      </w:r>
      <w:r>
        <mc:AlternateContent>
          <mc:Choice Requires="wps">
            <w:drawing>
              <wp:anchor behindDoc="0" distT="0" distB="0" distL="114935" distR="114935" simplePos="0" locked="0" layoutInCell="1" allowOverlap="1" relativeHeight="49">
                <wp:simplePos x="0" y="0"/>
                <wp:positionH relativeFrom="column">
                  <wp:posOffset>482600</wp:posOffset>
                </wp:positionH>
                <wp:positionV relativeFrom="paragraph">
                  <wp:posOffset>137160</wp:posOffset>
                </wp:positionV>
                <wp:extent cx="527685" cy="224155"/>
                <wp:effectExtent l="0" t="0" r="0" b="0"/>
                <wp:wrapNone/>
                <wp:docPr id="25" name="Frame3"/>
                <a:graphic xmlns:a="http://schemas.openxmlformats.org/drawingml/2006/main">
                  <a:graphicData uri="http://schemas.microsoft.com/office/word/2010/wordprocessingShape">
                    <wps:wsp>
                      <wps:cNvSpPr txBox="1"/>
                      <wps:spPr>
                        <a:xfrm>
                          <a:off x="0" y="0"/>
                          <a:ext cx="527685" cy="224155"/>
                        </a:xfrm>
                        <a:prstGeom prst="rect"/>
                        <a:solidFill>
                          <a:srgbClr val="FFFFFF"/>
                        </a:solidFill>
                        <a:ln w="9525">
                          <a:solidFill>
                            <a:srgbClr val="000000"/>
                          </a:solidFill>
                        </a:ln>
                      </wps:spPr>
                      <wps:txbx>
                        <w:txbxContent>
                          <w:p>
                            <w:pPr>
                              <w:pStyle w:val="Normal"/>
                              <w:rPr>
                                <w:sz w:val="12"/>
                                <w:szCs w:val="12"/>
                              </w:rPr>
                            </w:pPr>
                            <w:r>
                              <w:rPr>
                                <w:color w:val="000000"/>
                                <w:sz w:val="12"/>
                                <w:szCs w:val="12"/>
                              </w:rPr>
                              <w:t>А = 12</w:t>
                            </w:r>
                          </w:p>
                        </w:txbxContent>
                      </wps:txbx>
                      <wps:bodyPr anchor="t" lIns="91440" tIns="45720" rIns="91440" bIns="45720">
                        <a:noAutofit/>
                      </wps:bodyPr>
                    </wps:wsp>
                  </a:graphicData>
                </a:graphic>
              </wp:anchor>
            </w:drawing>
          </mc:Choice>
          <mc:Fallback>
            <w:pict>
              <v:rect fillcolor="#FFFFFF" strokecolor="#000000" strokeweight="0pt" style="position:absolute;rotation:0;width:41.55pt;height:17.65pt;mso-wrap-distance-left:9.05pt;mso-wrap-distance-right:9.05pt;mso-wrap-distance-top:0pt;mso-wrap-distance-bottom:0pt;margin-top:10.8pt;mso-position-vertical-relative:text;margin-left:38pt;mso-position-horizontal-relative:text">
                <v:textbox>
                  <w:txbxContent>
                    <w:p>
                      <w:pPr>
                        <w:pStyle w:val="Normal"/>
                        <w:rPr>
                          <w:sz w:val="12"/>
                          <w:szCs w:val="12"/>
                        </w:rPr>
                      </w:pPr>
                      <w:r>
                        <w:rPr>
                          <w:color w:val="000000"/>
                          <w:sz w:val="12"/>
                          <w:szCs w:val="12"/>
                        </w:rPr>
                        <w:t>А = 12</w:t>
                      </w:r>
                    </w:p>
                  </w:txbxContent>
                </v:textbox>
              </v:rect>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43">
                <wp:simplePos x="0" y="0"/>
                <wp:positionH relativeFrom="column">
                  <wp:posOffset>3288665</wp:posOffset>
                </wp:positionH>
                <wp:positionV relativeFrom="paragraph">
                  <wp:posOffset>142875</wp:posOffset>
                </wp:positionV>
                <wp:extent cx="542290" cy="337820"/>
                <wp:effectExtent l="0" t="0" r="0" b="0"/>
                <wp:wrapNone/>
                <wp:docPr id="26" name=""/>
                <a:graphic xmlns:a="http://schemas.openxmlformats.org/drawingml/2006/main">
                  <a:graphicData uri="http://schemas.microsoft.com/office/word/2010/wordprocessingShape">
                    <wps:cxnSp>
                      <wps:nvCxnSpPr>
                        <wps:cNvPr id="6" name="Line 1"/>
                        <wps:cNvCxnSpPr/>
                        <wps:nvPr/>
                      </wps:nvCxnSpPr>
                      <wps:spPr>
                        <a:xfrm>
                          <a:off x="0" y="0"/>
                          <a:ext cx="542160" cy="33768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258.95pt;margin-top:11.25pt;width:42.65pt;height:26.55pt" type="shapetype_32">
                <v:stroke color="black" weight="9360" endarrow="block" endarrowwidth="medium" endarrowlength="medium" joinstyle="miter" endcap="square"/>
                <v:fill o:detectmouseclick="t" on="false"/>
              </v:shape>
            </w:pict>
          </mc:Fallback>
        </mc:AlternateContent>
      </w:r>
      <w:r>
        <mc:AlternateContent>
          <mc:Choice Requires="wps">
            <w:drawing>
              <wp:anchor behindDoc="0" distT="0" distB="0" distL="114935" distR="114935" simplePos="0" locked="0" layoutInCell="1" allowOverlap="1" relativeHeight="54">
                <wp:simplePos x="0" y="0"/>
                <wp:positionH relativeFrom="column">
                  <wp:posOffset>3455035</wp:posOffset>
                </wp:positionH>
                <wp:positionV relativeFrom="paragraph">
                  <wp:posOffset>43815</wp:posOffset>
                </wp:positionV>
                <wp:extent cx="459740" cy="206375"/>
                <wp:effectExtent l="0" t="0" r="0" b="0"/>
                <wp:wrapNone/>
                <wp:docPr id="27" name="Frame4"/>
                <a:graphic xmlns:a="http://schemas.openxmlformats.org/drawingml/2006/main">
                  <a:graphicData uri="http://schemas.microsoft.com/office/word/2010/wordprocessingShape">
                    <wps:wsp>
                      <wps:cNvSpPr txBox="1"/>
                      <wps:spPr>
                        <a:xfrm>
                          <a:off x="0" y="0"/>
                          <a:ext cx="459740" cy="206375"/>
                        </a:xfrm>
                        <a:prstGeom prst="rect"/>
                        <a:solidFill>
                          <a:srgbClr val="FFFFFF"/>
                        </a:solidFill>
                        <a:ln w="9525">
                          <a:solidFill>
                            <a:srgbClr val="000000"/>
                          </a:solidFill>
                        </a:ln>
                      </wps:spPr>
                      <wps:txbx>
                        <w:txbxContent>
                          <w:p>
                            <w:pPr>
                              <w:pStyle w:val="Normal"/>
                              <w:rPr>
                                <w:sz w:val="12"/>
                                <w:szCs w:val="12"/>
                                <w:lang w:val="en-US"/>
                              </w:rPr>
                            </w:pPr>
                            <w:r>
                              <w:rPr>
                                <w:color w:val="000000"/>
                                <w:sz w:val="12"/>
                                <w:szCs w:val="12"/>
                                <w:lang w:val="en-US"/>
                              </w:rPr>
                              <w:t>F = 10</w:t>
                            </w:r>
                          </w:p>
                        </w:txbxContent>
                      </wps:txbx>
                      <wps:bodyPr anchor="t" lIns="91440" tIns="45720" rIns="91440" bIns="45720">
                        <a:noAutofit/>
                      </wps:bodyPr>
                    </wps:wsp>
                  </a:graphicData>
                </a:graphic>
              </wp:anchor>
            </w:drawing>
          </mc:Choice>
          <mc:Fallback>
            <w:pict>
              <v:rect fillcolor="#FFFFFF" strokecolor="#000000" strokeweight="0pt" style="position:absolute;rotation:0;width:36.2pt;height:16.25pt;mso-wrap-distance-left:9.05pt;mso-wrap-distance-right:9.05pt;mso-wrap-distance-top:0pt;mso-wrap-distance-bottom:0pt;margin-top:3.45pt;mso-position-vertical-relative:text;margin-left:272.05pt;mso-position-horizontal-relative:text">
                <v:textbox>
                  <w:txbxContent>
                    <w:p>
                      <w:pPr>
                        <w:pStyle w:val="Normal"/>
                        <w:rPr>
                          <w:sz w:val="12"/>
                          <w:szCs w:val="12"/>
                          <w:lang w:val="en-US"/>
                        </w:rPr>
                      </w:pPr>
                      <w:r>
                        <w:rPr>
                          <w:color w:val="000000"/>
                          <w:sz w:val="12"/>
                          <w:szCs w:val="12"/>
                          <w:lang w:val="en-US"/>
                        </w:rPr>
                        <w:t>F = 10</w:t>
                      </w:r>
                    </w:p>
                  </w:txbxContent>
                </v:textbox>
              </v:rect>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17">
                <wp:simplePos x="0" y="0"/>
                <wp:positionH relativeFrom="column">
                  <wp:posOffset>-76200</wp:posOffset>
                </wp:positionH>
                <wp:positionV relativeFrom="paragraph">
                  <wp:posOffset>6350</wp:posOffset>
                </wp:positionV>
                <wp:extent cx="852170" cy="829310"/>
                <wp:effectExtent l="0" t="0" r="0" b="0"/>
                <wp:wrapNone/>
                <wp:docPr id="28" name=""/>
                <a:graphic xmlns:a="http://schemas.openxmlformats.org/drawingml/2006/main">
                  <a:graphicData uri="http://schemas.microsoft.com/office/word/2010/wordprocessingShape">
                    <wps:wsp>
                      <wps:cNvSpPr/>
                      <wps:spPr>
                        <a:xfrm>
                          <a:off x="0" y="0"/>
                          <a:ext cx="851400" cy="82872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0      0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0      0</w:t>
                            </w:r>
                          </w:p>
                        </w:txbxContent>
                      </wps:txbx>
                      <wps:bodyPr>
                        <a:noAutofit/>
                      </wps:bodyPr>
                    </wps:wsp>
                  </a:graphicData>
                </a:graphic>
              </wp:anchor>
            </w:drawing>
          </mc:Choice>
          <mc:Fallback>
            <w:pict>
              <v:oval id="shape_0" fillcolor="white" stroked="t" style="position:absolute;margin-left:-6pt;margin-top:0.5pt;width:67pt;height:65.2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0      0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0      0</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18">
                <wp:simplePos x="0" y="0"/>
                <wp:positionH relativeFrom="column">
                  <wp:posOffset>354965</wp:posOffset>
                </wp:positionH>
                <wp:positionV relativeFrom="paragraph">
                  <wp:posOffset>6350</wp:posOffset>
                </wp:positionV>
                <wp:extent cx="1905" cy="789305"/>
                <wp:effectExtent l="0" t="0" r="0" b="0"/>
                <wp:wrapNone/>
                <wp:docPr id="29" name=""/>
                <a:graphic xmlns:a="http://schemas.openxmlformats.org/drawingml/2006/main">
                  <a:graphicData uri="http://schemas.microsoft.com/office/word/2010/wordprocessingShape">
                    <wps:cxnSp>
                      <wps:nvCxnSpPr>
                        <wps:cNvPr id="7" name="Line 1"/>
                        <wps:cNvCxnSpPr/>
                        <wps:nvPr/>
                      </wps:nvCxnSpPr>
                      <wps:spPr>
                        <a:xfrm>
                          <a:off x="0" y="0"/>
                          <a:ext cx="1800" cy="788760"/>
                        </a:xfrm>
                        <a:prstGeom prst="straightConnector1">
                          <a:avLst/>
                        </a:prstGeom>
                        <a:ln w="9360">
                          <a:solidFill>
                            <a:srgbClr val="000000"/>
                          </a:solidFill>
                          <a:miter/>
                        </a:ln>
                      </wps:spPr>
                      <wps:bodyPr/>
                    </wps:cxnSp>
                  </a:graphicData>
                </a:graphic>
              </wp:anchor>
            </w:drawing>
          </mc:Choice>
          <mc:Fallback>
            <w:pict>
              <v:shape id="shape_0" stroked="t" style="position:absolute;margin-left:27.95pt;margin-top:0.5pt;width:0.1pt;height:62.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38">
                <wp:simplePos x="0" y="0"/>
                <wp:positionH relativeFrom="column">
                  <wp:posOffset>720725</wp:posOffset>
                </wp:positionH>
                <wp:positionV relativeFrom="paragraph">
                  <wp:posOffset>6350</wp:posOffset>
                </wp:positionV>
                <wp:extent cx="389255" cy="172720"/>
                <wp:effectExtent l="0" t="0" r="0" b="0"/>
                <wp:wrapNone/>
                <wp:docPr id="30" name=""/>
                <a:graphic xmlns:a="http://schemas.openxmlformats.org/drawingml/2006/main">
                  <a:graphicData uri="http://schemas.microsoft.com/office/word/2010/wordprocessingShape">
                    <wps:cxnSp>
                      <wps:nvCxnSpPr>
                        <wps:cNvPr id="8" name="Line 1"/>
                        <wps:cNvCxnSpPr/>
                        <wps:nvPr/>
                      </wps:nvCxnSpPr>
                      <wps:spPr>
                        <a:xfrm flipV="1">
                          <a:off x="0" y="0"/>
                          <a:ext cx="389160" cy="17244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56.75pt;margin-top:0.5pt;width:30.6pt;height:13.45pt;flip:y" type="shapetype_32">
                <v:stroke color="black" weight="9360" endarrow="block" endarrowwidth="medium" endarrowlength="medium" joinstyle="miter" endcap="square"/>
                <v:fill o:detectmouseclick="t" on="false"/>
              </v:shape>
            </w:pict>
          </mc:Fallback>
        </mc:AlternateContent>
        <mc:AlternateContent>
          <mc:Choice Requires="wps">
            <w:drawing>
              <wp:anchor behindDoc="0" distT="0" distB="0" distL="114935" distR="114935" simplePos="0" locked="0" layoutInCell="1" allowOverlap="1" relativeHeight="40">
                <wp:simplePos x="0" y="0"/>
                <wp:positionH relativeFrom="column">
                  <wp:posOffset>1708785</wp:posOffset>
                </wp:positionH>
                <wp:positionV relativeFrom="paragraph">
                  <wp:posOffset>135890</wp:posOffset>
                </wp:positionV>
                <wp:extent cx="278765" cy="345440"/>
                <wp:effectExtent l="0" t="0" r="0" b="0"/>
                <wp:wrapNone/>
                <wp:docPr id="31" name=""/>
                <a:graphic xmlns:a="http://schemas.openxmlformats.org/drawingml/2006/main">
                  <a:graphicData uri="http://schemas.microsoft.com/office/word/2010/wordprocessingShape">
                    <wps:cxnSp>
                      <wps:nvCxnSpPr>
                        <wps:cNvPr id="9" name="Line 1"/>
                        <wps:cNvCxnSpPr/>
                        <wps:nvPr/>
                      </wps:nvCxnSpPr>
                      <wps:spPr>
                        <a:xfrm>
                          <a:off x="0" y="0"/>
                          <a:ext cx="278280" cy="34524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134.55pt;margin-top:10.7pt;width:21.85pt;height:27.15pt" type="shapetype_32">
                <v:stroke color="black" weight="9360" endarrow="block" endarrowwidth="medium" endarrowlength="medium" joinstyle="miter" endcap="square"/>
                <v:fill o:detectmouseclick="t" on="false"/>
              </v:shape>
            </w:pict>
          </mc:Fallback>
        </mc:AlternateContent>
        <mc:AlternateContent>
          <mc:Choice Requires="wps">
            <w:drawing>
              <wp:anchor behindDoc="0" distT="0" distB="0" distL="114935" distR="114935" simplePos="0" locked="0" layoutInCell="1" allowOverlap="1" relativeHeight="45">
                <wp:simplePos x="0" y="0"/>
                <wp:positionH relativeFrom="column">
                  <wp:posOffset>830580</wp:posOffset>
                </wp:positionH>
                <wp:positionV relativeFrom="paragraph">
                  <wp:posOffset>135890</wp:posOffset>
                </wp:positionV>
                <wp:extent cx="279400" cy="118745"/>
                <wp:effectExtent l="0" t="0" r="0" b="0"/>
                <wp:wrapNone/>
                <wp:docPr id="32" name=""/>
                <a:graphic xmlns:a="http://schemas.openxmlformats.org/drawingml/2006/main">
                  <a:graphicData uri="http://schemas.microsoft.com/office/word/2010/wordprocessingShape">
                    <wps:cxnSp>
                      <wps:nvCxnSpPr>
                        <wps:cNvPr id="10" name="Line 1"/>
                        <wps:cNvCxnSpPr/>
                        <wps:nvPr/>
                      </wps:nvCxnSpPr>
                      <wps:spPr>
                        <a:xfrm flipV="1">
                          <a:off x="0" y="0"/>
                          <a:ext cx="279360" cy="118800"/>
                        </a:xfrm>
                        <a:prstGeom prst="straightConnector1">
                          <a:avLst/>
                        </a:prstGeom>
                        <a:ln w="9360">
                          <a:solidFill>
                            <a:srgbClr val="000000"/>
                          </a:solidFill>
                          <a:miter/>
                        </a:ln>
                      </wps:spPr>
                      <wps:bodyPr/>
                    </wps:cxnSp>
                  </a:graphicData>
                </a:graphic>
              </wp:anchor>
            </w:drawing>
          </mc:Choice>
          <mc:Fallback>
            <w:pict>
              <v:shape id="shape_0" stroked="t" style="position:absolute;margin-left:65.4pt;margin-top:10.7pt;width:21.95pt;height:9.25pt;flip:y"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47">
                <wp:simplePos x="0" y="0"/>
                <wp:positionH relativeFrom="column">
                  <wp:posOffset>3237230</wp:posOffset>
                </wp:positionH>
                <wp:positionV relativeFrom="paragraph">
                  <wp:posOffset>70485</wp:posOffset>
                </wp:positionV>
                <wp:extent cx="501650" cy="299085"/>
                <wp:effectExtent l="0" t="0" r="0" b="0"/>
                <wp:wrapNone/>
                <wp:docPr id="33" name=""/>
                <a:graphic xmlns:a="http://schemas.openxmlformats.org/drawingml/2006/main">
                  <a:graphicData uri="http://schemas.microsoft.com/office/word/2010/wordprocessingShape">
                    <wps:cxnSp>
                      <wps:nvCxnSpPr>
                        <wps:cNvPr id="11" name="Line 1"/>
                        <wps:cNvCxnSpPr/>
                        <wps:nvPr/>
                      </wps:nvCxnSpPr>
                      <wps:spPr>
                        <a:xfrm>
                          <a:off x="0" y="0"/>
                          <a:ext cx="501480" cy="298800"/>
                        </a:xfrm>
                        <a:prstGeom prst="straightConnector1">
                          <a:avLst/>
                        </a:prstGeom>
                        <a:ln w="9360">
                          <a:solidFill>
                            <a:srgbClr val="000000"/>
                          </a:solidFill>
                          <a:miter/>
                        </a:ln>
                      </wps:spPr>
                      <wps:bodyPr/>
                    </wps:cxnSp>
                  </a:graphicData>
                </a:graphic>
              </wp:anchor>
            </w:drawing>
          </mc:Choice>
          <mc:Fallback>
            <w:pict>
              <v:shape id="shape_0" stroked="t" style="position:absolute;margin-left:254.9pt;margin-top:5.55pt;width:39.45pt;height:23.5pt" type="shapetype_32">
                <v:stroke color="black" weight="9360" joinstyle="miter" endcap="square"/>
                <v:fill o:detectmouseclick="t" on="false"/>
              </v:shape>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24">
                <wp:simplePos x="0" y="0"/>
                <wp:positionH relativeFrom="column">
                  <wp:posOffset>3691255</wp:posOffset>
                </wp:positionH>
                <wp:positionV relativeFrom="paragraph">
                  <wp:posOffset>2540</wp:posOffset>
                </wp:positionV>
                <wp:extent cx="789940" cy="858520"/>
                <wp:effectExtent l="0" t="0" r="0" b="0"/>
                <wp:wrapNone/>
                <wp:docPr id="34" name=""/>
                <a:graphic xmlns:a="http://schemas.openxmlformats.org/drawingml/2006/main">
                  <a:graphicData uri="http://schemas.microsoft.com/office/word/2010/wordprocessingShape">
                    <wps:wsp>
                      <wps:cNvSpPr/>
                      <wps:spPr>
                        <a:xfrm>
                          <a:off x="0" y="0"/>
                          <a:ext cx="789480" cy="85788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5      0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30   30</w:t>
                            </w:r>
                          </w:p>
                        </w:txbxContent>
                      </wps:txbx>
                      <wps:bodyPr>
                        <a:noAutofit/>
                      </wps:bodyPr>
                    </wps:wsp>
                  </a:graphicData>
                </a:graphic>
              </wp:anchor>
            </w:drawing>
          </mc:Choice>
          <mc:Fallback>
            <w:pict>
              <v:oval id="shape_0" fillcolor="white" stroked="t" style="position:absolute;margin-left:290.65pt;margin-top:0.2pt;width:62.1pt;height:67.5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5      0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30   30</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25">
                <wp:simplePos x="0" y="0"/>
                <wp:positionH relativeFrom="column">
                  <wp:posOffset>5118735</wp:posOffset>
                </wp:positionH>
                <wp:positionV relativeFrom="paragraph">
                  <wp:posOffset>38735</wp:posOffset>
                </wp:positionV>
                <wp:extent cx="787400" cy="822325"/>
                <wp:effectExtent l="0" t="0" r="0" b="0"/>
                <wp:wrapNone/>
                <wp:docPr id="35" name=""/>
                <a:graphic xmlns:a="http://schemas.openxmlformats.org/drawingml/2006/main">
                  <a:graphicData uri="http://schemas.microsoft.com/office/word/2010/wordprocessingShape">
                    <wps:wsp>
                      <wps:cNvSpPr/>
                      <wps:spPr>
                        <a:xfrm>
                          <a:off x="0" y="0"/>
                          <a:ext cx="786600" cy="82152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6     0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36  36</w:t>
                            </w:r>
                          </w:p>
                        </w:txbxContent>
                      </wps:txbx>
                      <wps:bodyPr>
                        <a:noAutofit/>
                      </wps:bodyPr>
                    </wps:wsp>
                  </a:graphicData>
                </a:graphic>
              </wp:anchor>
            </w:drawing>
          </mc:Choice>
          <mc:Fallback>
            <w:pict>
              <v:oval id="shape_0" fillcolor="white" stroked="t" style="position:absolute;margin-left:403.05pt;margin-top:3.05pt;width:61.9pt;height:64.65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6     0</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36  36</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31">
                <wp:simplePos x="0" y="0"/>
                <wp:positionH relativeFrom="column">
                  <wp:posOffset>4107815</wp:posOffset>
                </wp:positionH>
                <wp:positionV relativeFrom="paragraph">
                  <wp:posOffset>2540</wp:posOffset>
                </wp:positionV>
                <wp:extent cx="1905" cy="859155"/>
                <wp:effectExtent l="0" t="0" r="0" b="0"/>
                <wp:wrapNone/>
                <wp:docPr id="36" name=""/>
                <a:graphic xmlns:a="http://schemas.openxmlformats.org/drawingml/2006/main">
                  <a:graphicData uri="http://schemas.microsoft.com/office/word/2010/wordprocessingShape">
                    <wps:cxnSp>
                      <wps:nvCxnSpPr>
                        <wps:cNvPr id="12" name="Line 1"/>
                        <wps:cNvCxnSpPr/>
                        <wps:nvPr/>
                      </wps:nvCxnSpPr>
                      <wps:spPr>
                        <a:xfrm>
                          <a:off x="0" y="0"/>
                          <a:ext cx="1440" cy="858960"/>
                        </a:xfrm>
                        <a:prstGeom prst="straightConnector1">
                          <a:avLst/>
                        </a:prstGeom>
                        <a:ln w="9360">
                          <a:solidFill>
                            <a:srgbClr val="000000"/>
                          </a:solidFill>
                          <a:miter/>
                        </a:ln>
                      </wps:spPr>
                      <wps:bodyPr/>
                    </wps:cxnSp>
                  </a:graphicData>
                </a:graphic>
              </wp:anchor>
            </w:drawing>
          </mc:Choice>
          <mc:Fallback>
            <w:pict>
              <v:shape id="shape_0" stroked="t" style="position:absolute;margin-left:323.45pt;margin-top:0.2pt;width:0.05pt;height:67.6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32">
                <wp:simplePos x="0" y="0"/>
                <wp:positionH relativeFrom="column">
                  <wp:posOffset>5497830</wp:posOffset>
                </wp:positionH>
                <wp:positionV relativeFrom="paragraph">
                  <wp:posOffset>38735</wp:posOffset>
                </wp:positionV>
                <wp:extent cx="1905" cy="822960"/>
                <wp:effectExtent l="0" t="0" r="0" b="0"/>
                <wp:wrapNone/>
                <wp:docPr id="37" name=""/>
                <a:graphic xmlns:a="http://schemas.openxmlformats.org/drawingml/2006/main">
                  <a:graphicData uri="http://schemas.microsoft.com/office/word/2010/wordprocessingShape">
                    <wps:cxnSp>
                      <wps:nvCxnSpPr>
                        <wps:cNvPr id="13" name="Line 1"/>
                        <wps:cNvCxnSpPr/>
                        <wps:nvPr/>
                      </wps:nvCxnSpPr>
                      <wps:spPr>
                        <a:xfrm>
                          <a:off x="0" y="0"/>
                          <a:ext cx="1440" cy="822600"/>
                        </a:xfrm>
                        <a:prstGeom prst="straightConnector1">
                          <a:avLst/>
                        </a:prstGeom>
                        <a:ln w="9360">
                          <a:solidFill>
                            <a:srgbClr val="000000"/>
                          </a:solidFill>
                          <a:miter/>
                        </a:ln>
                      </wps:spPr>
                      <wps:bodyPr/>
                    </wps:cxnSp>
                  </a:graphicData>
                </a:graphic>
              </wp:anchor>
            </w:drawing>
          </mc:Choice>
          <mc:Fallback>
            <w:pict>
              <v:shape id="shape_0" stroked="t" style="position:absolute;margin-left:432.9pt;margin-top:3.05pt;width:0.05pt;height:64.7pt" type="shapetype_32">
                <v:stroke color="black" weight="9360" joinstyle="miter" endcap="square"/>
                <v:fill o:detectmouseclick="t" on="false"/>
              </v:shape>
            </w:pict>
          </mc:Fallback>
        </mc:AlternateContent>
      </w:r>
      <w:r>
        <mc:AlternateContent>
          <mc:Choice Requires="wps">
            <w:drawing>
              <wp:anchor behindDoc="0" distT="0" distB="0" distL="114935" distR="114935" simplePos="0" locked="0" layoutInCell="1" allowOverlap="1" relativeHeight="51">
                <wp:simplePos x="0" y="0"/>
                <wp:positionH relativeFrom="column">
                  <wp:posOffset>1440815</wp:posOffset>
                </wp:positionH>
                <wp:positionV relativeFrom="paragraph">
                  <wp:posOffset>124460</wp:posOffset>
                </wp:positionV>
                <wp:extent cx="379095" cy="206375"/>
                <wp:effectExtent l="0" t="0" r="0" b="0"/>
                <wp:wrapNone/>
                <wp:docPr id="38" name="Frame6"/>
                <a:graphic xmlns:a="http://schemas.openxmlformats.org/drawingml/2006/main">
                  <a:graphicData uri="http://schemas.microsoft.com/office/word/2010/wordprocessingShape">
                    <wps:wsp>
                      <wps:cNvSpPr txBox="1"/>
                      <wps:spPr>
                        <a:xfrm>
                          <a:off x="0" y="0"/>
                          <a:ext cx="379095" cy="206375"/>
                        </a:xfrm>
                        <a:prstGeom prst="rect"/>
                        <a:solidFill>
                          <a:srgbClr val="FFFFFF"/>
                        </a:solidFill>
                        <a:ln w="9525">
                          <a:solidFill>
                            <a:srgbClr val="000000"/>
                          </a:solidFill>
                        </a:ln>
                      </wps:spPr>
                      <wps:txbx>
                        <w:txbxContent>
                          <w:p>
                            <w:pPr>
                              <w:pStyle w:val="Normal"/>
                              <w:rPr>
                                <w:sz w:val="12"/>
                                <w:szCs w:val="12"/>
                              </w:rPr>
                            </w:pPr>
                            <w:r>
                              <w:rPr>
                                <w:color w:val="000000"/>
                                <w:sz w:val="12"/>
                                <w:szCs w:val="12"/>
                                <w:lang w:val="en-US"/>
                              </w:rPr>
                              <w:t>D = 7</w:t>
                            </w:r>
                          </w:p>
                        </w:txbxContent>
                      </wps:txbx>
                      <wps:bodyPr anchor="t" lIns="91440" tIns="45720" rIns="91440" bIns="45720">
                        <a:noAutofit/>
                      </wps:bodyPr>
                    </wps:wsp>
                  </a:graphicData>
                </a:graphic>
              </wp:anchor>
            </w:drawing>
          </mc:Choice>
          <mc:Fallback>
            <w:pict>
              <v:rect fillcolor="#FFFFFF" strokecolor="#000000" strokeweight="0pt" style="position:absolute;rotation:0;width:29.85pt;height:16.25pt;mso-wrap-distance-left:9.05pt;mso-wrap-distance-right:9.05pt;mso-wrap-distance-top:0pt;mso-wrap-distance-bottom:0pt;margin-top:9.8pt;mso-position-vertical-relative:text;margin-left:113.45pt;mso-position-horizontal-relative:text">
                <v:textbox>
                  <w:txbxContent>
                    <w:p>
                      <w:pPr>
                        <w:pStyle w:val="Normal"/>
                        <w:rPr>
                          <w:sz w:val="12"/>
                          <w:szCs w:val="12"/>
                        </w:rPr>
                      </w:pPr>
                      <w:r>
                        <w:rPr>
                          <w:color w:val="000000"/>
                          <w:sz w:val="12"/>
                          <w:szCs w:val="12"/>
                          <w:lang w:val="en-US"/>
                        </w:rPr>
                        <w:t>D = 7</w:t>
                      </w:r>
                    </w:p>
                  </w:txbxContent>
                </v:textbox>
              </v:rect>
            </w:pict>
          </mc:Fallback>
        </mc:AlternateContent>
      </w:r>
      <w:r>
        <mc:AlternateContent>
          <mc:Choice Requires="wps">
            <w:drawing>
              <wp:anchor behindDoc="0" distT="0" distB="0" distL="114935" distR="114935" simplePos="0" locked="0" layoutInCell="1" allowOverlap="1" relativeHeight="55">
                <wp:simplePos x="0" y="0"/>
                <wp:positionH relativeFrom="column">
                  <wp:posOffset>4585970</wp:posOffset>
                </wp:positionH>
                <wp:positionV relativeFrom="paragraph">
                  <wp:posOffset>102870</wp:posOffset>
                </wp:positionV>
                <wp:extent cx="379095" cy="206375"/>
                <wp:effectExtent l="0" t="0" r="0" b="0"/>
                <wp:wrapNone/>
                <wp:docPr id="39" name="Frame5"/>
                <a:graphic xmlns:a="http://schemas.openxmlformats.org/drawingml/2006/main">
                  <a:graphicData uri="http://schemas.microsoft.com/office/word/2010/wordprocessingShape">
                    <wps:wsp>
                      <wps:cNvSpPr txBox="1"/>
                      <wps:spPr>
                        <a:xfrm>
                          <a:off x="0" y="0"/>
                          <a:ext cx="379095" cy="206375"/>
                        </a:xfrm>
                        <a:prstGeom prst="rect"/>
                        <a:solidFill>
                          <a:srgbClr val="FFFFFF"/>
                        </a:solidFill>
                        <a:ln w="9525">
                          <a:solidFill>
                            <a:srgbClr val="000000"/>
                          </a:solidFill>
                        </a:ln>
                      </wps:spPr>
                      <wps:txbx>
                        <w:txbxContent>
                          <w:p>
                            <w:pPr>
                              <w:pStyle w:val="Normal"/>
                              <w:rPr>
                                <w:sz w:val="12"/>
                                <w:szCs w:val="12"/>
                              </w:rPr>
                            </w:pPr>
                            <w:r>
                              <w:rPr>
                                <w:color w:val="000000"/>
                                <w:sz w:val="12"/>
                                <w:szCs w:val="12"/>
                                <w:lang w:val="en-US"/>
                              </w:rPr>
                              <w:t>H = 6</w:t>
                            </w:r>
                          </w:p>
                        </w:txbxContent>
                      </wps:txbx>
                      <wps:bodyPr anchor="t" lIns="91440" tIns="45720" rIns="91440" bIns="45720">
                        <a:noAutofit/>
                      </wps:bodyPr>
                    </wps:wsp>
                  </a:graphicData>
                </a:graphic>
              </wp:anchor>
            </w:drawing>
          </mc:Choice>
          <mc:Fallback>
            <w:pict>
              <v:rect fillcolor="#FFFFFF" strokecolor="#000000" strokeweight="0pt" style="position:absolute;rotation:0;width:29.85pt;height:16.25pt;mso-wrap-distance-left:9.05pt;mso-wrap-distance-right:9.05pt;mso-wrap-distance-top:0pt;mso-wrap-distance-bottom:0pt;margin-top:8.1pt;mso-position-vertical-relative:text;margin-left:361.1pt;mso-position-horizontal-relative:text">
                <v:textbox>
                  <w:txbxContent>
                    <w:p>
                      <w:pPr>
                        <w:pStyle w:val="Normal"/>
                        <w:rPr>
                          <w:sz w:val="12"/>
                          <w:szCs w:val="12"/>
                        </w:rPr>
                      </w:pPr>
                      <w:r>
                        <w:rPr>
                          <w:color w:val="000000"/>
                          <w:sz w:val="12"/>
                          <w:szCs w:val="12"/>
                          <w:lang w:val="en-US"/>
                        </w:rPr>
                        <w:t>H = 6</w:t>
                      </w:r>
                    </w:p>
                  </w:txbxContent>
                </v:textbox>
              </v:rect>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19">
                <wp:simplePos x="0" y="0"/>
                <wp:positionH relativeFrom="column">
                  <wp:posOffset>-76200</wp:posOffset>
                </wp:positionH>
                <wp:positionV relativeFrom="paragraph">
                  <wp:posOffset>17780</wp:posOffset>
                </wp:positionV>
                <wp:extent cx="852805" cy="1905"/>
                <wp:effectExtent l="0" t="0" r="0" b="0"/>
                <wp:wrapNone/>
                <wp:docPr id="40" name=""/>
                <a:graphic xmlns:a="http://schemas.openxmlformats.org/drawingml/2006/main">
                  <a:graphicData uri="http://schemas.microsoft.com/office/word/2010/wordprocessingShape">
                    <wps:cxnSp>
                      <wps:nvCxnSpPr>
                        <wps:cNvPr id="14" name="Line 1"/>
                        <wps:cNvCxnSpPr/>
                        <wps:nvPr/>
                      </wps:nvCxnSpPr>
                      <wps:spPr>
                        <a:xfrm>
                          <a:off x="0" y="0"/>
                          <a:ext cx="852120" cy="1800"/>
                        </a:xfrm>
                        <a:prstGeom prst="straightConnector1">
                          <a:avLst/>
                        </a:prstGeom>
                        <a:ln w="9360">
                          <a:solidFill>
                            <a:srgbClr val="000000"/>
                          </a:solidFill>
                          <a:miter/>
                        </a:ln>
                      </wps:spPr>
                      <wps:bodyPr/>
                    </wps:cxnSp>
                  </a:graphicData>
                </a:graphic>
              </wp:anchor>
            </w:drawing>
          </mc:Choice>
          <mc:Fallback>
            <w:pict>
              <v:shape id="shape_0" stroked="t" style="position:absolute;margin-left:-6pt;margin-top:1.4pt;width:67.05pt;height:0.1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22">
                <wp:simplePos x="0" y="0"/>
                <wp:positionH relativeFrom="column">
                  <wp:posOffset>1870710</wp:posOffset>
                </wp:positionH>
                <wp:positionV relativeFrom="paragraph">
                  <wp:posOffset>17780</wp:posOffset>
                </wp:positionV>
                <wp:extent cx="811530" cy="836930"/>
                <wp:effectExtent l="0" t="0" r="0" b="0"/>
                <wp:wrapNone/>
                <wp:docPr id="41" name=""/>
                <a:graphic xmlns:a="http://schemas.openxmlformats.org/drawingml/2006/main">
                  <a:graphicData uri="http://schemas.microsoft.com/office/word/2010/wordprocessingShape">
                    <wps:wsp>
                      <wps:cNvSpPr/>
                      <wps:spPr>
                        <a:xfrm>
                          <a:off x="0" y="0"/>
                          <a:ext cx="810720" cy="83628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4     1</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19  20</w:t>
                            </w:r>
                          </w:p>
                        </w:txbxContent>
                      </wps:txbx>
                      <wps:bodyPr>
                        <a:noAutofit/>
                      </wps:bodyPr>
                    </wps:wsp>
                  </a:graphicData>
                </a:graphic>
              </wp:anchor>
            </w:drawing>
          </mc:Choice>
          <mc:Fallback>
            <w:pict>
              <v:oval id="shape_0" fillcolor="white" stroked="t" style="position:absolute;margin-left:147.3pt;margin-top:1.4pt;width:63.8pt;height:65.8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4     1</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19  20</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29">
                <wp:simplePos x="0" y="0"/>
                <wp:positionH relativeFrom="column">
                  <wp:posOffset>2242820</wp:posOffset>
                </wp:positionH>
                <wp:positionV relativeFrom="paragraph">
                  <wp:posOffset>17780</wp:posOffset>
                </wp:positionV>
                <wp:extent cx="1905" cy="837565"/>
                <wp:effectExtent l="0" t="0" r="0" b="0"/>
                <wp:wrapNone/>
                <wp:docPr id="42" name=""/>
                <a:graphic xmlns:a="http://schemas.openxmlformats.org/drawingml/2006/main">
                  <a:graphicData uri="http://schemas.microsoft.com/office/word/2010/wordprocessingShape">
                    <wps:cxnSp>
                      <wps:nvCxnSpPr>
                        <wps:cNvPr id="15" name="Line 1"/>
                        <wps:cNvCxnSpPr/>
                        <wps:nvPr/>
                      </wps:nvCxnSpPr>
                      <wps:spPr>
                        <a:xfrm>
                          <a:off x="0" y="0"/>
                          <a:ext cx="1800" cy="837360"/>
                        </a:xfrm>
                        <a:prstGeom prst="straightConnector1">
                          <a:avLst/>
                        </a:prstGeom>
                        <a:ln w="9360">
                          <a:solidFill>
                            <a:srgbClr val="000000"/>
                          </a:solidFill>
                          <a:miter/>
                        </a:ln>
                      </wps:spPr>
                      <wps:bodyPr/>
                    </wps:cxnSp>
                  </a:graphicData>
                </a:graphic>
              </wp:anchor>
            </w:drawing>
          </mc:Choice>
          <mc:Fallback>
            <w:pict>
              <v:shape id="shape_0" stroked="t" style="position:absolute;margin-left:176.6pt;margin-top:1.4pt;width:0.1pt;height:65.9pt" type="shapetype_32">
                <v:stroke color="black" weight="9360" joinstyle="miter" endcap="square"/>
                <v:fill o:detectmouseclick="t" on="false"/>
              </v:shape>
            </w:pict>
          </mc:Fallback>
        </mc:AlternateContent>
      </w:r>
      <w:r>
        <mc:AlternateContent>
          <mc:Choice Requires="wps">
            <w:drawing>
              <wp:anchor behindDoc="0" distT="0" distB="0" distL="114935" distR="114935" simplePos="0" locked="0" layoutInCell="1" allowOverlap="1" relativeHeight="53">
                <wp:simplePos x="0" y="0"/>
                <wp:positionH relativeFrom="column">
                  <wp:posOffset>2862580</wp:posOffset>
                </wp:positionH>
                <wp:positionV relativeFrom="paragraph">
                  <wp:posOffset>52070</wp:posOffset>
                </wp:positionV>
                <wp:extent cx="430530" cy="206375"/>
                <wp:effectExtent l="0" t="0" r="0" b="0"/>
                <wp:wrapNone/>
                <wp:docPr id="43" name="Frame7"/>
                <a:graphic xmlns:a="http://schemas.openxmlformats.org/drawingml/2006/main">
                  <a:graphicData uri="http://schemas.microsoft.com/office/word/2010/wordprocessingShape">
                    <wps:wsp>
                      <wps:cNvSpPr txBox="1"/>
                      <wps:spPr>
                        <a:xfrm>
                          <a:off x="0" y="0"/>
                          <a:ext cx="430530" cy="206375"/>
                        </a:xfrm>
                        <a:prstGeom prst="rect"/>
                        <a:solidFill>
                          <a:srgbClr val="FFFFFF"/>
                        </a:solidFill>
                        <a:ln w="9525">
                          <a:solidFill>
                            <a:srgbClr val="000000"/>
                          </a:solidFill>
                        </a:ln>
                      </wps:spPr>
                      <wps:txbx>
                        <w:txbxContent>
                          <w:p>
                            <w:pPr>
                              <w:pStyle w:val="Normal"/>
                              <w:rPr>
                                <w:sz w:val="12"/>
                                <w:szCs w:val="12"/>
                                <w:lang w:val="en-US"/>
                              </w:rPr>
                            </w:pPr>
                            <w:r>
                              <w:rPr>
                                <w:sz w:val="12"/>
                                <w:szCs w:val="12"/>
                                <w:lang w:val="en-US"/>
                              </w:rPr>
                              <w:t>G = 10</w:t>
                            </w:r>
                          </w:p>
                        </w:txbxContent>
                      </wps:txbx>
                      <wps:bodyPr anchor="t" lIns="91440" tIns="45720" rIns="91440" bIns="45720">
                        <a:noAutofit/>
                      </wps:bodyPr>
                    </wps:wsp>
                  </a:graphicData>
                </a:graphic>
              </wp:anchor>
            </w:drawing>
          </mc:Choice>
          <mc:Fallback>
            <w:pict>
              <v:rect fillcolor="#FFFFFF" strokecolor="#000000" strokeweight="0pt" style="position:absolute;rotation:0;width:33.9pt;height:16.25pt;mso-wrap-distance-left:9.05pt;mso-wrap-distance-right:9.05pt;mso-wrap-distance-top:0pt;mso-wrap-distance-bottom:0pt;margin-top:4.1pt;mso-position-vertical-relative:text;margin-left:225.4pt;mso-position-horizontal-relative:text">
                <v:textbox>
                  <w:txbxContent>
                    <w:p>
                      <w:pPr>
                        <w:pStyle w:val="Normal"/>
                        <w:rPr>
                          <w:sz w:val="12"/>
                          <w:szCs w:val="12"/>
                          <w:lang w:val="en-US"/>
                        </w:rPr>
                      </w:pPr>
                      <w:r>
                        <w:rPr>
                          <w:sz w:val="12"/>
                          <w:szCs w:val="12"/>
                          <w:lang w:val="en-US"/>
                        </w:rPr>
                        <w:t>G = 10</w:t>
                      </w:r>
                    </w:p>
                  </w:txbxContent>
                </v:textbox>
              </v:rect>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36">
                <wp:simplePos x="0" y="0"/>
                <wp:positionH relativeFrom="column">
                  <wp:posOffset>3691255</wp:posOffset>
                </wp:positionH>
                <wp:positionV relativeFrom="paragraph">
                  <wp:posOffset>78105</wp:posOffset>
                </wp:positionV>
                <wp:extent cx="790575" cy="1905"/>
                <wp:effectExtent l="0" t="0" r="0" b="0"/>
                <wp:wrapNone/>
                <wp:docPr id="44" name=""/>
                <a:graphic xmlns:a="http://schemas.openxmlformats.org/drawingml/2006/main">
                  <a:graphicData uri="http://schemas.microsoft.com/office/word/2010/wordprocessingShape">
                    <wps:cxnSp>
                      <wps:nvCxnSpPr>
                        <wps:cNvPr id="16" name="Line 1"/>
                        <wps:cNvCxnSpPr/>
                        <wps:nvPr/>
                      </wps:nvCxnSpPr>
                      <wps:spPr>
                        <a:xfrm>
                          <a:off x="0" y="0"/>
                          <a:ext cx="790560" cy="1440"/>
                        </a:xfrm>
                        <a:prstGeom prst="straightConnector1">
                          <a:avLst/>
                        </a:prstGeom>
                        <a:ln w="9360">
                          <a:solidFill>
                            <a:srgbClr val="000000"/>
                          </a:solidFill>
                          <a:miter/>
                        </a:ln>
                      </wps:spPr>
                      <wps:bodyPr/>
                    </wps:cxnSp>
                  </a:graphicData>
                </a:graphic>
              </wp:anchor>
            </w:drawing>
          </mc:Choice>
          <mc:Fallback>
            <w:pict>
              <v:shape id="shape_0" stroked="t" style="position:absolute;margin-left:290.65pt;margin-top:6.15pt;width:62.2pt;height:0.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37">
                <wp:simplePos x="0" y="0"/>
                <wp:positionH relativeFrom="column">
                  <wp:posOffset>5118735</wp:posOffset>
                </wp:positionH>
                <wp:positionV relativeFrom="paragraph">
                  <wp:posOffset>78740</wp:posOffset>
                </wp:positionV>
                <wp:extent cx="788035" cy="1905"/>
                <wp:effectExtent l="0" t="0" r="0" b="0"/>
                <wp:wrapNone/>
                <wp:docPr id="45" name=""/>
                <a:graphic xmlns:a="http://schemas.openxmlformats.org/drawingml/2006/main">
                  <a:graphicData uri="http://schemas.microsoft.com/office/word/2010/wordprocessingShape">
                    <wps:cxnSp>
                      <wps:nvCxnSpPr>
                        <wps:cNvPr id="17" name="Line 1"/>
                        <wps:cNvCxnSpPr/>
                        <wps:nvPr/>
                      </wps:nvCxnSpPr>
                      <wps:spPr>
                        <a:xfrm>
                          <a:off x="0" y="0"/>
                          <a:ext cx="787680" cy="1440"/>
                        </a:xfrm>
                        <a:prstGeom prst="straightConnector1">
                          <a:avLst/>
                        </a:prstGeom>
                        <a:ln w="9360">
                          <a:solidFill>
                            <a:srgbClr val="000000"/>
                          </a:solidFill>
                          <a:miter/>
                        </a:ln>
                      </wps:spPr>
                      <wps:bodyPr/>
                    </wps:cxnSp>
                  </a:graphicData>
                </a:graphic>
              </wp:anchor>
            </w:drawing>
          </mc:Choice>
          <mc:Fallback>
            <w:pict>
              <v:shape id="shape_0" stroked="t" style="position:absolute;margin-left:403.05pt;margin-top:6.2pt;width:61.95pt;height:0.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42">
                <wp:simplePos x="0" y="0"/>
                <wp:positionH relativeFrom="column">
                  <wp:posOffset>2681605</wp:posOffset>
                </wp:positionH>
                <wp:positionV relativeFrom="paragraph">
                  <wp:posOffset>151765</wp:posOffset>
                </wp:positionV>
                <wp:extent cx="1010920" cy="1905"/>
                <wp:effectExtent l="0" t="0" r="0" b="0"/>
                <wp:wrapNone/>
                <wp:docPr id="46" name=""/>
                <a:graphic xmlns:a="http://schemas.openxmlformats.org/drawingml/2006/main">
                  <a:graphicData uri="http://schemas.microsoft.com/office/word/2010/wordprocessingShape">
                    <wps:cxnSp>
                      <wps:nvCxnSpPr>
                        <wps:cNvPr id="18" name="Line 1"/>
                        <wps:cNvCxnSpPr/>
                        <wps:nvPr/>
                      </wps:nvCxnSpPr>
                      <wps:spPr>
                        <a:xfrm>
                          <a:off x="0" y="0"/>
                          <a:ext cx="1010520" cy="144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211.15pt;margin-top:11.95pt;width:79.5pt;height:0.05pt" type="shapetype_32">
                <v:stroke color="black" weight="9360" endarrow="block" endarrowwidth="medium" endarrowlength="medium" joinstyle="miter" endcap="square"/>
                <v:fill o:detectmouseclick="t" on="false"/>
              </v:shape>
            </w:pict>
          </mc:Fallback>
        </mc:AlternateContent>
        <mc:AlternateContent>
          <mc:Choice Requires="wps">
            <w:drawing>
              <wp:anchor behindDoc="0" distT="0" distB="0" distL="114935" distR="114935" simplePos="0" locked="0" layoutInCell="1" allowOverlap="1" relativeHeight="44">
                <wp:simplePos x="0" y="0"/>
                <wp:positionH relativeFrom="column">
                  <wp:posOffset>4480560</wp:posOffset>
                </wp:positionH>
                <wp:positionV relativeFrom="paragraph">
                  <wp:posOffset>12700</wp:posOffset>
                </wp:positionV>
                <wp:extent cx="639445" cy="67310"/>
                <wp:effectExtent l="0" t="0" r="0" b="0"/>
                <wp:wrapNone/>
                <wp:docPr id="47" name=""/>
                <a:graphic xmlns:a="http://schemas.openxmlformats.org/drawingml/2006/main">
                  <a:graphicData uri="http://schemas.microsoft.com/office/word/2010/wordprocessingShape">
                    <wps:cxnSp>
                      <wps:nvCxnSpPr>
                        <wps:cNvPr id="19" name="Line 1"/>
                        <wps:cNvCxnSpPr/>
                        <wps:nvPr/>
                      </wps:nvCxnSpPr>
                      <wps:spPr>
                        <a:xfrm flipV="1">
                          <a:off x="0" y="0"/>
                          <a:ext cx="639000" cy="6696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352.8pt;margin-top:1pt;width:50.25pt;height:5.15pt;flip:y" type="shapetype_32">
                <v:stroke color="black" weight="9360" endarrow="block" endarrowwidth="medium" endarrowlength="medium" joinstyle="miter" endcap="square"/>
                <v:fill o:detectmouseclick="t" on="false"/>
              </v:shape>
            </w:pict>
          </mc:Fallback>
        </mc:AlternateContent>
        <mc:AlternateContent>
          <mc:Choice Requires="wps">
            <w:drawing>
              <wp:anchor behindDoc="0" distT="0" distB="0" distL="114935" distR="114935" simplePos="0" locked="0" layoutInCell="1" allowOverlap="1" relativeHeight="48">
                <wp:simplePos x="0" y="0"/>
                <wp:positionH relativeFrom="column">
                  <wp:posOffset>4531995</wp:posOffset>
                </wp:positionH>
                <wp:positionV relativeFrom="paragraph">
                  <wp:posOffset>78740</wp:posOffset>
                </wp:positionV>
                <wp:extent cx="521335" cy="73660"/>
                <wp:effectExtent l="0" t="0" r="0" b="0"/>
                <wp:wrapNone/>
                <wp:docPr id="48" name=""/>
                <a:graphic xmlns:a="http://schemas.openxmlformats.org/drawingml/2006/main">
                  <a:graphicData uri="http://schemas.microsoft.com/office/word/2010/wordprocessingShape">
                    <wps:cxnSp>
                      <wps:nvCxnSpPr>
                        <wps:cNvPr id="20" name="Line 1"/>
                        <wps:cNvCxnSpPr/>
                        <wps:nvPr/>
                      </wps:nvCxnSpPr>
                      <wps:spPr>
                        <a:xfrm flipV="1">
                          <a:off x="0" y="0"/>
                          <a:ext cx="520920" cy="73440"/>
                        </a:xfrm>
                        <a:prstGeom prst="straightConnector1">
                          <a:avLst/>
                        </a:prstGeom>
                        <a:ln w="9360">
                          <a:solidFill>
                            <a:srgbClr val="000000"/>
                          </a:solidFill>
                          <a:miter/>
                        </a:ln>
                      </wps:spPr>
                      <wps:bodyPr/>
                    </wps:cxnSp>
                  </a:graphicData>
                </a:graphic>
              </wp:anchor>
            </w:drawing>
          </mc:Choice>
          <mc:Fallback>
            <w:pict>
              <v:shape id="shape_0" stroked="t" style="position:absolute;margin-left:356.85pt;margin-top:6.2pt;width:40.95pt;height:5.7pt;flip:y" type="shapetype_32">
                <v:stroke color="black" weight="9360" joinstyle="miter" endcap="square"/>
                <v:fill o:detectmouseclick="t" on="false"/>
              </v:shape>
            </w:pict>
          </mc:Fallback>
        </mc:AlternateContent>
      </w:r>
    </w:p>
    <w:p>
      <w:pPr>
        <w:pStyle w:val="Normal"/>
        <w:rPr>
          <w:lang w:val="en-US" w:eastAsia="en-US"/>
        </w:rPr>
      </w:pPr>
      <w:r>
        <w:rPr>
          <w:lang w:val="en-US" w:eastAsia="en-US"/>
        </w:rPr>
        <mc:AlternateContent>
          <mc:Choice Requires="wps">
            <w:drawing>
              <wp:anchor behindDoc="0" distT="0" distB="0" distL="114935" distR="114935" simplePos="0" locked="0" layoutInCell="1" allowOverlap="1" relativeHeight="35">
                <wp:simplePos x="0" y="0"/>
                <wp:positionH relativeFrom="column">
                  <wp:posOffset>1870710</wp:posOffset>
                </wp:positionH>
                <wp:positionV relativeFrom="paragraph">
                  <wp:posOffset>38735</wp:posOffset>
                </wp:positionV>
                <wp:extent cx="812165" cy="1905"/>
                <wp:effectExtent l="0" t="0" r="0" b="0"/>
                <wp:wrapNone/>
                <wp:docPr id="49" name=""/>
                <a:graphic xmlns:a="http://schemas.openxmlformats.org/drawingml/2006/main">
                  <a:graphicData uri="http://schemas.microsoft.com/office/word/2010/wordprocessingShape">
                    <wps:cxnSp>
                      <wps:nvCxnSpPr>
                        <wps:cNvPr id="21" name="Line 1"/>
                        <wps:cNvCxnSpPr/>
                        <wps:nvPr/>
                      </wps:nvCxnSpPr>
                      <wps:spPr>
                        <a:xfrm>
                          <a:off x="0" y="0"/>
                          <a:ext cx="812160" cy="1440"/>
                        </a:xfrm>
                        <a:prstGeom prst="straightConnector1">
                          <a:avLst/>
                        </a:prstGeom>
                        <a:ln w="9360">
                          <a:solidFill>
                            <a:srgbClr val="000000"/>
                          </a:solidFill>
                          <a:miter/>
                        </a:ln>
                      </wps:spPr>
                      <wps:bodyPr/>
                    </wps:cxnSp>
                  </a:graphicData>
                </a:graphic>
              </wp:anchor>
            </w:drawing>
          </mc:Choice>
          <mc:Fallback>
            <w:pict>
              <v:shape id="shape_0" stroked="t" style="position:absolute;margin-left:147.3pt;margin-top:3.05pt;width:63.9pt;height:0.05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56">
                <wp:simplePos x="0" y="0"/>
                <wp:positionH relativeFrom="column">
                  <wp:posOffset>567690</wp:posOffset>
                </wp:positionH>
                <wp:positionV relativeFrom="paragraph">
                  <wp:posOffset>93345</wp:posOffset>
                </wp:positionV>
                <wp:extent cx="542290" cy="520700"/>
                <wp:effectExtent l="0" t="0" r="0" b="0"/>
                <wp:wrapNone/>
                <wp:docPr id="50" name=""/>
                <a:graphic xmlns:a="http://schemas.openxmlformats.org/drawingml/2006/main">
                  <a:graphicData uri="http://schemas.microsoft.com/office/word/2010/wordprocessingShape">
                    <wps:cxnSp>
                      <wps:nvCxnSpPr>
                        <wps:cNvPr id="22" name="Line 1"/>
                        <wps:cNvCxnSpPr/>
                        <wps:nvPr/>
                      </wps:nvCxnSpPr>
                      <wps:spPr>
                        <a:xfrm>
                          <a:off x="0" y="0"/>
                          <a:ext cx="542160" cy="52056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44.7pt;margin-top:7.35pt;width:42.65pt;height:40.95pt" type="shapetype_32">
                <v:stroke color="black" weight="9360" endarrow="block" endarrowwidth="medium" endarrowlength="medium" joinstyle="miter" endcap="square"/>
                <v:fill o:detectmouseclick="t" on="false"/>
              </v:shape>
            </w:pict>
          </mc:Fallback>
        </mc:AlternateContent>
      </w:r>
    </w:p>
    <w:p>
      <w:pPr>
        <w:pStyle w:val="Heading1"/>
        <w:rPr>
          <w:rFonts w:ascii="Times New Roman" w:hAnsi="Times New Roman" w:eastAsia="Calibri" w:cs="Times New Roman"/>
          <w:b w:val="false"/>
          <w:b w:val="false"/>
          <w:i/>
          <w:i/>
          <w:color w:val="000000"/>
          <w:sz w:val="40"/>
          <w:szCs w:val="40"/>
          <w:lang w:val="en-US" w:eastAsia="en-US"/>
        </w:rPr>
      </w:pPr>
      <w:r>
        <w:rPr>
          <w:rFonts w:eastAsia="Calibri" w:cs="Times New Roman" w:ascii="Times New Roman" w:hAnsi="Times New Roman"/>
          <w:b w:val="false"/>
          <w:i/>
          <w:color w:val="000000"/>
          <w:sz w:val="40"/>
          <w:szCs w:val="40"/>
          <w:lang w:val="en-US" w:eastAsia="en-US"/>
        </w:rPr>
        <mc:AlternateContent>
          <mc:Choice Requires="wps">
            <w:drawing>
              <wp:anchor behindDoc="0" distT="0" distB="0" distL="114935" distR="114935" simplePos="0" locked="0" layoutInCell="1" allowOverlap="1" relativeHeight="21">
                <wp:simplePos x="0" y="0"/>
                <wp:positionH relativeFrom="column">
                  <wp:posOffset>1013460</wp:posOffset>
                </wp:positionH>
                <wp:positionV relativeFrom="paragraph">
                  <wp:posOffset>328295</wp:posOffset>
                </wp:positionV>
                <wp:extent cx="791210" cy="782955"/>
                <wp:effectExtent l="0" t="0" r="0" b="0"/>
                <wp:wrapNone/>
                <wp:docPr id="51" name=""/>
                <a:graphic xmlns:a="http://schemas.openxmlformats.org/drawingml/2006/main">
                  <a:graphicData uri="http://schemas.microsoft.com/office/word/2010/wordprocessingShape">
                    <wps:wsp>
                      <wps:cNvSpPr/>
                      <wps:spPr>
                        <a:xfrm>
                          <a:off x="0" y="0"/>
                          <a:ext cx="790560" cy="78228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2    9</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5    14</w:t>
                            </w:r>
                          </w:p>
                        </w:txbxContent>
                      </wps:txbx>
                      <wps:bodyPr>
                        <a:noAutofit/>
                      </wps:bodyPr>
                    </wps:wsp>
                  </a:graphicData>
                </a:graphic>
              </wp:anchor>
            </w:drawing>
          </mc:Choice>
          <mc:Fallback>
            <w:pict>
              <v:oval id="shape_0" fillcolor="white" stroked="t" style="position:absolute;margin-left:79.8pt;margin-top:25.85pt;width:62.2pt;height:61.55pt">
                <v:textbox>
                  <w:txbxContent>
                    <w:p>
                      <w:pPr>
                        <w:overflowPunct w:val="false"/>
                        <w:bidi w:val="0"/>
                        <w:spacing w:lineRule="atLeast" w:line="100"/>
                        <w:rPr/>
                      </w:pPr>
                      <w:r>
                        <w:rPr>
                          <w:sz w:val="24"/>
                          <w:kern w:val="2"/>
                          <w:szCs w:val="24"/>
                          <w:rFonts w:ascii="Times New Roman" w:hAnsi="Times New Roman" w:eastAsia="Arial" w:cs="Times New Roman"/>
                          <w:color w:val="000000"/>
                          <w:lang w:val="bg-BG" w:bidi="ar-SA"/>
                        </w:rPr>
                        <w:t>2    9</w:t>
                      </w:r>
                    </w:p>
                    <w:p>
                      <w:pPr>
                        <w:overflowPunct w:val="false"/>
                        <w:bidi w:val="0"/>
                        <w:spacing w:lineRule="atLeast" w:line="100"/>
                        <w:rPr/>
                      </w:pPr>
                      <w:r>
                        <w:rPr>
                          <w:rFonts w:ascii="Liberation Serif" w:hAnsi="Liberation Serif" w:eastAsia="Droid Sans Fallback" w:cs="FreeSans"/>
                          <w:color w:val="auto"/>
                          <w:lang w:val="en-US" w:bidi="hi-IN"/>
                        </w:rPr>
                      </w:r>
                    </w:p>
                    <w:p>
                      <w:pPr>
                        <w:overflowPunct w:val="false"/>
                        <w:bidi w:val="0"/>
                        <w:spacing w:lineRule="atLeast" w:line="100"/>
                        <w:rPr/>
                      </w:pPr>
                      <w:r>
                        <w:rPr>
                          <w:sz w:val="24"/>
                          <w:kern w:val="2"/>
                          <w:szCs w:val="24"/>
                          <w:rFonts w:ascii="Times New Roman" w:hAnsi="Times New Roman" w:eastAsia="Arial" w:cs="Times New Roman"/>
                          <w:color w:val="000000"/>
                          <w:lang w:val="bg-BG" w:bidi="ar-SA"/>
                        </w:rPr>
                        <w:t>5    14</w:t>
                      </w:r>
                    </w:p>
                  </w:txbxContent>
                </v:textbox>
                <w10:wrap type="square"/>
                <v:fill o:detectmouseclick="t" type="solid" color2="black"/>
                <v:stroke color="black" weight="9360" joinstyle="miter" endcap="square"/>
              </v:oval>
            </w:pict>
          </mc:Fallback>
        </mc:AlternateContent>
        <mc:AlternateContent>
          <mc:Choice Requires="wps">
            <w:drawing>
              <wp:anchor behindDoc="0" distT="0" distB="0" distL="114935" distR="114935" simplePos="0" locked="0" layoutInCell="1" allowOverlap="1" relativeHeight="30">
                <wp:simplePos x="0" y="0"/>
                <wp:positionH relativeFrom="column">
                  <wp:posOffset>1386840</wp:posOffset>
                </wp:positionH>
                <wp:positionV relativeFrom="paragraph">
                  <wp:posOffset>328295</wp:posOffset>
                </wp:positionV>
                <wp:extent cx="1905" cy="734695"/>
                <wp:effectExtent l="0" t="0" r="0" b="0"/>
                <wp:wrapNone/>
                <wp:docPr id="52" name=""/>
                <a:graphic xmlns:a="http://schemas.openxmlformats.org/drawingml/2006/main">
                  <a:graphicData uri="http://schemas.microsoft.com/office/word/2010/wordprocessingShape">
                    <wps:cxnSp>
                      <wps:nvCxnSpPr>
                        <wps:cNvPr id="23" name="Line 1"/>
                        <wps:cNvCxnSpPr/>
                        <wps:nvPr/>
                      </wps:nvCxnSpPr>
                      <wps:spPr>
                        <a:xfrm>
                          <a:off x="0" y="0"/>
                          <a:ext cx="1800" cy="734400"/>
                        </a:xfrm>
                        <a:prstGeom prst="straightConnector1">
                          <a:avLst/>
                        </a:prstGeom>
                        <a:ln w="9360">
                          <a:solidFill>
                            <a:srgbClr val="000000"/>
                          </a:solidFill>
                          <a:miter/>
                        </a:ln>
                      </wps:spPr>
                      <wps:bodyPr/>
                    </wps:cxnSp>
                  </a:graphicData>
                </a:graphic>
              </wp:anchor>
            </w:drawing>
          </mc:Choice>
          <mc:Fallback>
            <w:pict>
              <v:shape id="shape_0" stroked="t" style="position:absolute;margin-left:109.2pt;margin-top:25.85pt;width:0.1pt;height:57.8pt" type="shapetype_32">
                <v:stroke color="black" weight="9360" joinstyle="miter" endcap="square"/>
                <v:fill o:detectmouseclick="t" on="false"/>
              </v:shape>
            </w:pict>
          </mc:Fallback>
        </mc:AlternateContent>
        <mc:AlternateContent>
          <mc:Choice Requires="wps">
            <w:drawing>
              <wp:anchor behindDoc="0" distT="0" distB="0" distL="114935" distR="114935" simplePos="0" locked="0" layoutInCell="1" allowOverlap="1" relativeHeight="41">
                <wp:simplePos x="0" y="0"/>
                <wp:positionH relativeFrom="column">
                  <wp:posOffset>1657350</wp:posOffset>
                </wp:positionH>
                <wp:positionV relativeFrom="paragraph">
                  <wp:posOffset>159385</wp:posOffset>
                </wp:positionV>
                <wp:extent cx="330200" cy="279400"/>
                <wp:effectExtent l="0" t="0" r="0" b="0"/>
                <wp:wrapNone/>
                <wp:docPr id="53" name=""/>
                <a:graphic xmlns:a="http://schemas.openxmlformats.org/drawingml/2006/main">
                  <a:graphicData uri="http://schemas.microsoft.com/office/word/2010/wordprocessingShape">
                    <wps:cxnSp>
                      <wps:nvCxnSpPr>
                        <wps:cNvPr id="24" name="Line 1"/>
                        <wps:cNvCxnSpPr/>
                        <wps:nvPr/>
                      </wps:nvCxnSpPr>
                      <wps:spPr>
                        <a:xfrm flipV="1">
                          <a:off x="0" y="0"/>
                          <a:ext cx="329760" cy="279000"/>
                        </a:xfrm>
                        <a:prstGeom prst="straightConnector1">
                          <a:avLst/>
                        </a:prstGeom>
                        <a:ln w="9360">
                          <a:solidFill>
                            <a:srgbClr val="000000"/>
                          </a:solidFill>
                          <a:miter/>
                          <a:tailEnd len="med" type="triangle" w="med"/>
                        </a:ln>
                      </wps:spPr>
                      <wps:bodyPr/>
                    </wps:cxnSp>
                  </a:graphicData>
                </a:graphic>
              </wp:anchor>
            </w:drawing>
          </mc:Choice>
          <mc:Fallback>
            <w:pict>
              <v:shape id="shape_0" stroked="t" style="position:absolute;margin-left:130.5pt;margin-top:12.55pt;width:25.9pt;height:21.85pt;flip:y" type="shapetype_32">
                <v:stroke color="black" weight="9360" endarrow="block" endarrowwidth="medium" endarrowlength="medium" joinstyle="miter" endcap="square"/>
                <v:fill o:detectmouseclick="t" on="false"/>
              </v:shape>
            </w:pict>
          </mc:Fallback>
        </mc:AlternateContent>
      </w:r>
      <w:bookmarkStart w:id="12" w:name="__RefHeading___Toc346652120"/>
      <w:bookmarkStart w:id="13" w:name="__RefHeading___Toc346652120"/>
      <w:r>
        <mc:AlternateContent>
          <mc:Choice Requires="wps">
            <w:drawing>
              <wp:anchor behindDoc="0" distT="0" distB="0" distL="114935" distR="114935" simplePos="0" locked="0" layoutInCell="1" allowOverlap="1" relativeHeight="52">
                <wp:simplePos x="0" y="0"/>
                <wp:positionH relativeFrom="column">
                  <wp:posOffset>1382395</wp:posOffset>
                </wp:positionH>
                <wp:positionV relativeFrom="paragraph">
                  <wp:posOffset>44450</wp:posOffset>
                </wp:positionV>
                <wp:extent cx="379095" cy="206375"/>
                <wp:effectExtent l="0" t="0" r="0" b="0"/>
                <wp:wrapNone/>
                <wp:docPr id="54" name="Frame9"/>
                <a:graphic xmlns:a="http://schemas.openxmlformats.org/drawingml/2006/main">
                  <a:graphicData uri="http://schemas.microsoft.com/office/word/2010/wordprocessingShape">
                    <wps:wsp>
                      <wps:cNvSpPr txBox="1"/>
                      <wps:spPr>
                        <a:xfrm>
                          <a:off x="0" y="0"/>
                          <a:ext cx="379095" cy="206375"/>
                        </a:xfrm>
                        <a:prstGeom prst="rect"/>
                        <a:solidFill>
                          <a:srgbClr val="FFFFFF"/>
                        </a:solidFill>
                        <a:ln w="9525">
                          <a:solidFill>
                            <a:srgbClr val="000000"/>
                          </a:solidFill>
                        </a:ln>
                      </wps:spPr>
                      <wps:txbx>
                        <w:txbxContent>
                          <w:p>
                            <w:pPr>
                              <w:pStyle w:val="Normal"/>
                              <w:rPr>
                                <w:sz w:val="12"/>
                                <w:szCs w:val="12"/>
                              </w:rPr>
                            </w:pPr>
                            <w:r>
                              <w:rPr>
                                <w:color w:val="000000"/>
                                <w:sz w:val="12"/>
                                <w:szCs w:val="12"/>
                              </w:rPr>
                              <w:t>Е = 6</w:t>
                            </w:r>
                          </w:p>
                        </w:txbxContent>
                      </wps:txbx>
                      <wps:bodyPr anchor="t" lIns="91440" tIns="45720" rIns="91440" bIns="45720">
                        <a:noAutofit/>
                      </wps:bodyPr>
                    </wps:wsp>
                  </a:graphicData>
                </a:graphic>
              </wp:anchor>
            </w:drawing>
          </mc:Choice>
          <mc:Fallback>
            <w:pict>
              <v:rect fillcolor="#FFFFFF" strokecolor="#000000" strokeweight="0pt" style="position:absolute;rotation:0;width:29.85pt;height:16.25pt;mso-wrap-distance-left:9.05pt;mso-wrap-distance-right:9.05pt;mso-wrap-distance-top:0pt;mso-wrap-distance-bottom:0pt;margin-top:3.5pt;mso-position-vertical-relative:text;margin-left:108.85pt;mso-position-horizontal-relative:text">
                <v:textbox>
                  <w:txbxContent>
                    <w:p>
                      <w:pPr>
                        <w:pStyle w:val="Normal"/>
                        <w:rPr>
                          <w:sz w:val="12"/>
                          <w:szCs w:val="12"/>
                        </w:rPr>
                      </w:pPr>
                      <w:r>
                        <w:rPr>
                          <w:color w:val="000000"/>
                          <w:sz w:val="12"/>
                          <w:szCs w:val="12"/>
                        </w:rPr>
                        <w:t>Е = 6</w:t>
                      </w:r>
                    </w:p>
                  </w:txbxContent>
                </v:textbox>
              </v:rect>
            </w:pict>
          </mc:Fallback>
        </mc:AlternateContent>
      </w:r>
      <w:r>
        <mc:AlternateContent>
          <mc:Choice Requires="wps">
            <w:drawing>
              <wp:anchor behindDoc="0" distT="0" distB="0" distL="114935" distR="114935" simplePos="0" locked="0" layoutInCell="1" allowOverlap="1" relativeHeight="57">
                <wp:simplePos x="0" y="0"/>
                <wp:positionH relativeFrom="column">
                  <wp:posOffset>346075</wp:posOffset>
                </wp:positionH>
                <wp:positionV relativeFrom="paragraph">
                  <wp:posOffset>126365</wp:posOffset>
                </wp:positionV>
                <wp:extent cx="379095" cy="206375"/>
                <wp:effectExtent l="0" t="0" r="0" b="0"/>
                <wp:wrapNone/>
                <wp:docPr id="55" name="Frame8"/>
                <a:graphic xmlns:a="http://schemas.openxmlformats.org/drawingml/2006/main">
                  <a:graphicData uri="http://schemas.microsoft.com/office/word/2010/wordprocessingShape">
                    <wps:wsp>
                      <wps:cNvSpPr txBox="1"/>
                      <wps:spPr>
                        <a:xfrm>
                          <a:off x="0" y="0"/>
                          <a:ext cx="379095" cy="206375"/>
                        </a:xfrm>
                        <a:prstGeom prst="rect"/>
                        <a:solidFill>
                          <a:srgbClr val="FFFFFF"/>
                        </a:solidFill>
                        <a:ln w="9525">
                          <a:solidFill>
                            <a:srgbClr val="000000"/>
                          </a:solidFill>
                        </a:ln>
                      </wps:spPr>
                      <wps:txbx>
                        <w:txbxContent>
                          <w:p>
                            <w:pPr>
                              <w:pStyle w:val="Normal"/>
                              <w:rPr>
                                <w:sz w:val="12"/>
                                <w:szCs w:val="12"/>
                                <w:lang w:val="en-US"/>
                              </w:rPr>
                            </w:pPr>
                            <w:r>
                              <w:rPr>
                                <w:color w:val="000000"/>
                                <w:sz w:val="12"/>
                                <w:szCs w:val="12"/>
                                <w:lang w:val="en-US"/>
                              </w:rPr>
                              <w:t>B = 5</w:t>
                            </w:r>
                          </w:p>
                          <w:p>
                            <w:pPr>
                              <w:pStyle w:val="Normal"/>
                              <w:rPr>
                                <w:sz w:val="12"/>
                                <w:szCs w:val="12"/>
                                <w:lang w:val="en-US"/>
                              </w:rPr>
                            </w:pPr>
                            <w:r>
                              <w:rPr>
                                <w:sz w:val="12"/>
                                <w:szCs w:val="12"/>
                                <w:lang w:val="en-US"/>
                              </w:rPr>
                            </w:r>
                          </w:p>
                        </w:txbxContent>
                      </wps:txbx>
                      <wps:bodyPr anchor="t" lIns="91440" tIns="45720" rIns="91440" bIns="45720">
                        <a:noAutofit/>
                      </wps:bodyPr>
                    </wps:wsp>
                  </a:graphicData>
                </a:graphic>
              </wp:anchor>
            </w:drawing>
          </mc:Choice>
          <mc:Fallback>
            <w:pict>
              <v:rect fillcolor="#FFFFFF" strokecolor="#000000" strokeweight="0pt" style="position:absolute;rotation:0;width:29.85pt;height:16.25pt;mso-wrap-distance-left:9.05pt;mso-wrap-distance-right:9.05pt;mso-wrap-distance-top:0pt;mso-wrap-distance-bottom:0pt;margin-top:9.95pt;mso-position-vertical-relative:text;margin-left:27.25pt;mso-position-horizontal-relative:text">
                <v:textbox>
                  <w:txbxContent>
                    <w:p>
                      <w:pPr>
                        <w:pStyle w:val="Normal"/>
                        <w:rPr>
                          <w:sz w:val="12"/>
                          <w:szCs w:val="12"/>
                          <w:lang w:val="en-US"/>
                        </w:rPr>
                      </w:pPr>
                      <w:r>
                        <w:rPr>
                          <w:color w:val="000000"/>
                          <w:sz w:val="12"/>
                          <w:szCs w:val="12"/>
                          <w:lang w:val="en-US"/>
                        </w:rPr>
                        <w:t>B = 5</w:t>
                      </w:r>
                    </w:p>
                    <w:p>
                      <w:pPr>
                        <w:pStyle w:val="Normal"/>
                        <w:rPr>
                          <w:sz w:val="12"/>
                          <w:szCs w:val="12"/>
                          <w:lang w:val="en-US"/>
                        </w:rPr>
                      </w:pPr>
                      <w:r>
                        <w:rPr>
                          <w:sz w:val="12"/>
                          <w:szCs w:val="12"/>
                          <w:lang w:val="en-US"/>
                        </w:rPr>
                      </w:r>
                    </w:p>
                  </w:txbxContent>
                </v:textbox>
              </v:rect>
            </w:pict>
          </mc:Fallback>
        </mc:AlternateContent>
      </w:r>
    </w:p>
    <w:p>
      <w:pPr>
        <w:pStyle w:val="Heading1"/>
        <w:rPr>
          <w:rFonts w:ascii="Times New Roman" w:hAnsi="Times New Roman" w:eastAsia="Calibri" w:cs="Times New Roman"/>
          <w:b w:val="false"/>
          <w:b w:val="false"/>
          <w:i/>
          <w:i/>
          <w:color w:val="000000"/>
          <w:sz w:val="40"/>
          <w:szCs w:val="40"/>
          <w:lang w:val="en-US" w:eastAsia="en-US"/>
        </w:rPr>
      </w:pPr>
      <w:r>
        <w:rPr>
          <w:rFonts w:eastAsia="Calibri" w:cs="Times New Roman" w:ascii="Times New Roman" w:hAnsi="Times New Roman"/>
          <w:b w:val="false"/>
          <w:i/>
          <w:color w:val="000000"/>
          <w:sz w:val="40"/>
          <w:szCs w:val="40"/>
          <w:lang w:val="en-US" w:eastAsia="en-US"/>
        </w:rPr>
        <mc:AlternateContent>
          <mc:Choice Requires="wps">
            <w:drawing>
              <wp:anchor behindDoc="0" distT="0" distB="0" distL="114935" distR="114935" simplePos="0" locked="0" layoutInCell="1" allowOverlap="1" relativeHeight="33">
                <wp:simplePos x="0" y="0"/>
                <wp:positionH relativeFrom="column">
                  <wp:posOffset>1013460</wp:posOffset>
                </wp:positionH>
                <wp:positionV relativeFrom="paragraph">
                  <wp:posOffset>133350</wp:posOffset>
                </wp:positionV>
                <wp:extent cx="744220" cy="1905"/>
                <wp:effectExtent l="0" t="0" r="0" b="0"/>
                <wp:wrapNone/>
                <wp:docPr id="56" name=""/>
                <a:graphic xmlns:a="http://schemas.openxmlformats.org/drawingml/2006/main">
                  <a:graphicData uri="http://schemas.microsoft.com/office/word/2010/wordprocessingShape">
                    <wps:cxnSp>
                      <wps:nvCxnSpPr>
                        <wps:cNvPr id="25" name="Line 1"/>
                        <wps:cNvCxnSpPr/>
                        <wps:nvPr/>
                      </wps:nvCxnSpPr>
                      <wps:spPr>
                        <a:xfrm>
                          <a:off x="0" y="0"/>
                          <a:ext cx="744120" cy="1800"/>
                        </a:xfrm>
                        <a:prstGeom prst="straightConnector1">
                          <a:avLst/>
                        </a:prstGeom>
                        <a:ln w="9360">
                          <a:solidFill>
                            <a:srgbClr val="000000"/>
                          </a:solidFill>
                          <a:miter/>
                        </a:ln>
                      </wps:spPr>
                      <wps:bodyPr/>
                    </wps:cxnSp>
                  </a:graphicData>
                </a:graphic>
              </wp:anchor>
            </w:drawing>
          </mc:Choice>
          <mc:Fallback>
            <w:pict>
              <v:shape id="shape_0" stroked="t" style="position:absolute;margin-left:79.8pt;margin-top:10.5pt;width:58.55pt;height:0.1pt" type="shapetype_32">
                <v:stroke color="black" weight="9360" joinstyle="miter" endcap="square"/>
                <v:fill o:detectmouseclick="t" on="false"/>
              </v:shape>
            </w:pict>
          </mc:Fallback>
        </mc:AlternateContent>
      </w:r>
    </w:p>
    <w:p>
      <w:pPr>
        <w:pStyle w:val="Heading1"/>
        <w:rPr>
          <w:rFonts w:ascii="Times New Roman" w:hAnsi="Times New Roman" w:eastAsia="Calibri" w:cs="Times New Roman"/>
          <w:color w:val="000000"/>
          <w:sz w:val="24"/>
          <w:szCs w:val="24"/>
          <w:lang w:val="en-US"/>
        </w:rPr>
      </w:pPr>
      <w:r>
        <w:rPr>
          <w:rFonts w:eastAsia="Calibri" w:cs="Times New Roman" w:ascii="Times New Roman" w:hAnsi="Times New Roman"/>
          <w:color w:val="000000"/>
          <w:sz w:val="24"/>
          <w:szCs w:val="24"/>
        </w:rPr>
        <w:t xml:space="preserve">Пълен резерв: </w:t>
      </w:r>
      <w:r>
        <w:rPr>
          <w:rFonts w:eastAsia="Calibri" w:cs="Times New Roman" w:ascii="Times New Roman" w:hAnsi="Times New Roman"/>
          <w:i/>
          <w:color w:val="000000"/>
          <w:sz w:val="24"/>
          <w:szCs w:val="24"/>
          <w:lang w:val="en-US"/>
        </w:rPr>
        <w:t>Tkj – Tpi – tij</w:t>
      </w:r>
    </w:p>
    <w:p>
      <w:pPr>
        <w:pStyle w:val="Normal"/>
        <w:rPr>
          <w:lang w:val="en-US"/>
        </w:rPr>
      </w:pPr>
      <w:r>
        <w:rPr>
          <w:lang w:val="en-US"/>
        </w:rPr>
        <w:t>R01  = 12-0-12 = 0</w:t>
      </w:r>
    </w:p>
    <w:p>
      <w:pPr>
        <w:pStyle w:val="Normal"/>
        <w:rPr>
          <w:lang w:val="en-US"/>
        </w:rPr>
      </w:pPr>
      <w:r>
        <w:rPr>
          <w:lang w:val="en-US"/>
        </w:rPr>
        <w:t>R02  = 14-0-5 = 9</w:t>
      </w:r>
    </w:p>
    <w:p>
      <w:pPr>
        <w:pStyle w:val="Normal"/>
        <w:rPr>
          <w:lang w:val="en-US"/>
        </w:rPr>
      </w:pPr>
      <w:r>
        <w:rPr>
          <w:lang w:val="en-US"/>
        </w:rPr>
        <w:t>R13 = 20-12-8 = 0</w:t>
      </w:r>
    </w:p>
    <w:p>
      <w:pPr>
        <w:pStyle w:val="Normal"/>
        <w:rPr>
          <w:lang w:val="en-US"/>
        </w:rPr>
      </w:pPr>
      <w:r>
        <w:rPr>
          <w:lang w:val="en-US"/>
        </w:rPr>
        <w:t>R14 = 20-12-7 = 1</w:t>
      </w:r>
    </w:p>
    <w:p>
      <w:pPr>
        <w:pStyle w:val="Normal"/>
        <w:rPr>
          <w:lang w:val="en-US"/>
        </w:rPr>
      </w:pPr>
      <w:r>
        <w:rPr>
          <w:lang w:val="en-US"/>
        </w:rPr>
        <w:t>R24 = 20-5-6 = 9</w:t>
      </w:r>
    </w:p>
    <w:p>
      <w:pPr>
        <w:pStyle w:val="Normal"/>
        <w:rPr>
          <w:lang w:val="en-US"/>
        </w:rPr>
      </w:pPr>
      <w:r>
        <w:rPr>
          <w:lang w:val="en-US"/>
        </w:rPr>
        <w:t>R35 = 30-20-10 = 0</w:t>
      </w:r>
    </w:p>
    <w:p>
      <w:pPr>
        <w:pStyle w:val="Normal"/>
        <w:rPr>
          <w:lang w:val="en-US"/>
        </w:rPr>
      </w:pPr>
      <w:r>
        <w:rPr>
          <w:lang w:val="en-US"/>
        </w:rPr>
        <w:t>R45 = 30-19-10 = 1</w:t>
      </w:r>
    </w:p>
    <w:p>
      <w:pPr>
        <w:pStyle w:val="Normal"/>
        <w:rPr>
          <w:lang w:val="en-US"/>
        </w:rPr>
      </w:pPr>
      <w:r>
        <w:rPr>
          <w:lang w:val="en-US"/>
        </w:rPr>
        <w:t>R56 = 36-30-6 = 0</w:t>
      </w:r>
    </w:p>
    <w:p>
      <w:pPr>
        <w:pStyle w:val="Normal"/>
        <w:rPr>
          <w:lang w:val="en-US"/>
        </w:rPr>
      </w:pPr>
      <w:r>
        <w:rPr>
          <w:lang w:val="en-US"/>
        </w:rPr>
      </w:r>
    </w:p>
    <w:p>
      <w:pPr>
        <w:pStyle w:val="Normal"/>
        <w:rPr>
          <w:b/>
          <w:b/>
          <w:i/>
          <w:i/>
          <w:lang w:val="en-US"/>
        </w:rPr>
      </w:pPr>
      <w:r>
        <w:rPr>
          <w:b/>
        </w:rPr>
        <w:t xml:space="preserve">Независим резерв: </w:t>
      </w:r>
      <w:r>
        <w:rPr>
          <w:b/>
          <w:i/>
          <w:lang w:val="en-US"/>
        </w:rPr>
        <w:t>Tpj – Tki – tij</w:t>
      </w:r>
    </w:p>
    <w:p>
      <w:pPr>
        <w:pStyle w:val="Normal"/>
        <w:rPr>
          <w:lang w:val="en-US"/>
        </w:rPr>
      </w:pPr>
      <w:r>
        <w:rPr>
          <w:lang w:val="en-US"/>
        </w:rPr>
        <w:t>R01 = 12-0-12 = 0</w:t>
      </w:r>
    </w:p>
    <w:p>
      <w:pPr>
        <w:pStyle w:val="Normal"/>
        <w:rPr>
          <w:lang w:val="en-US"/>
        </w:rPr>
      </w:pPr>
      <w:r>
        <w:rPr>
          <w:lang w:val="en-US"/>
        </w:rPr>
        <w:t>R02 = 5-0-5 = 0</w:t>
      </w:r>
    </w:p>
    <w:p>
      <w:pPr>
        <w:pStyle w:val="Normal"/>
        <w:rPr>
          <w:lang w:val="en-US"/>
        </w:rPr>
      </w:pPr>
      <w:r>
        <w:rPr>
          <w:lang w:val="en-US"/>
        </w:rPr>
        <w:t>R13 = 20-12-8 = 0</w:t>
      </w:r>
    </w:p>
    <w:p>
      <w:pPr>
        <w:pStyle w:val="Normal"/>
        <w:rPr>
          <w:lang w:val="en-US"/>
        </w:rPr>
      </w:pPr>
      <w:r>
        <w:rPr>
          <w:lang w:val="en-US"/>
        </w:rPr>
        <w:t>R14 = 19-12-7 = 0</w:t>
      </w:r>
    </w:p>
    <w:p>
      <w:pPr>
        <w:pStyle w:val="Normal"/>
        <w:rPr>
          <w:lang w:val="en-US"/>
        </w:rPr>
      </w:pPr>
      <w:r>
        <w:rPr>
          <w:lang w:val="en-US"/>
        </w:rPr>
        <w:t>R24 = 19-14-6 = -1</w:t>
      </w:r>
    </w:p>
    <w:p>
      <w:pPr>
        <w:pStyle w:val="Normal"/>
        <w:rPr>
          <w:lang w:val="en-US"/>
        </w:rPr>
      </w:pPr>
      <w:r>
        <w:rPr>
          <w:lang w:val="en-US"/>
        </w:rPr>
        <w:t>R35 = 30-20-10 = 0</w:t>
      </w:r>
    </w:p>
    <w:p>
      <w:pPr>
        <w:pStyle w:val="Normal"/>
        <w:rPr>
          <w:lang w:val="en-US"/>
        </w:rPr>
      </w:pPr>
      <w:r>
        <w:rPr>
          <w:lang w:val="en-US"/>
        </w:rPr>
        <w:t>R 45 = 30-20-10 = 0</w:t>
      </w:r>
    </w:p>
    <w:p>
      <w:pPr>
        <w:pStyle w:val="Normal"/>
        <w:rPr>
          <w:lang w:val="en-US"/>
        </w:rPr>
      </w:pPr>
      <w:r>
        <w:rPr>
          <w:lang w:val="en-US"/>
        </w:rPr>
        <w:t>R56 = 36-30-6 = 0</w:t>
      </w:r>
    </w:p>
    <w:p>
      <w:pPr>
        <w:pStyle w:val="Normal"/>
        <w:rPr>
          <w:lang w:val="en-US"/>
        </w:rPr>
      </w:pPr>
      <w:r>
        <w:rPr>
          <w:lang w:val="en-US"/>
        </w:rPr>
      </w:r>
    </w:p>
    <w:p>
      <w:pPr>
        <w:pStyle w:val="Normal"/>
        <w:rPr>
          <w:b/>
          <w:b/>
          <w:i/>
          <w:i/>
          <w:lang w:val="en-US"/>
        </w:rPr>
      </w:pPr>
      <w:r>
        <w:rPr>
          <w:b/>
        </w:rPr>
        <w:t xml:space="preserve">Свободен резерв: </w:t>
      </w:r>
      <w:r>
        <w:rPr>
          <w:b/>
          <w:i/>
          <w:lang w:val="en-US"/>
        </w:rPr>
        <w:t xml:space="preserve"> Tpj – Tpi – tij</w:t>
      </w:r>
    </w:p>
    <w:p>
      <w:pPr>
        <w:pStyle w:val="Normal"/>
        <w:rPr>
          <w:lang w:val="en-US"/>
        </w:rPr>
      </w:pPr>
      <w:r>
        <w:rPr>
          <w:lang w:val="en-US"/>
        </w:rPr>
        <w:t>R01 = 12-0-12 = 0</w:t>
      </w:r>
    </w:p>
    <w:p>
      <w:pPr>
        <w:pStyle w:val="Normal"/>
        <w:rPr>
          <w:lang w:val="en-US"/>
        </w:rPr>
      </w:pPr>
      <w:r>
        <w:rPr>
          <w:lang w:val="en-US"/>
        </w:rPr>
        <w:t>R02 = 5-0-5 = 0</w:t>
      </w:r>
    </w:p>
    <w:p>
      <w:pPr>
        <w:pStyle w:val="Normal"/>
        <w:rPr>
          <w:lang w:val="en-US"/>
        </w:rPr>
      </w:pPr>
      <w:r>
        <w:rPr>
          <w:lang w:val="en-US"/>
        </w:rPr>
        <w:t>R13 = 20-12-8 = 0</w:t>
      </w:r>
    </w:p>
    <w:p>
      <w:pPr>
        <w:pStyle w:val="Normal"/>
        <w:rPr>
          <w:lang w:val="en-US"/>
        </w:rPr>
      </w:pPr>
      <w:r>
        <w:rPr>
          <w:lang w:val="en-US"/>
        </w:rPr>
        <w:t>R14 = 19+12-7 = 0</w:t>
      </w:r>
    </w:p>
    <w:p>
      <w:pPr>
        <w:pStyle w:val="Normal"/>
        <w:rPr>
          <w:lang w:val="en-US"/>
        </w:rPr>
      </w:pPr>
      <w:r>
        <w:rPr>
          <w:lang w:val="en-US"/>
        </w:rPr>
        <w:t>R24 = 19-5-6 = 8</w:t>
      </w:r>
    </w:p>
    <w:p>
      <w:pPr>
        <w:pStyle w:val="Normal"/>
        <w:rPr>
          <w:lang w:val="en-US"/>
        </w:rPr>
      </w:pPr>
      <w:r>
        <w:rPr>
          <w:lang w:val="en-US"/>
        </w:rPr>
        <w:t>R35 = 30-20-10 = 0</w:t>
      </w:r>
    </w:p>
    <w:p>
      <w:pPr>
        <w:pStyle w:val="Normal"/>
        <w:rPr>
          <w:lang w:val="en-US"/>
        </w:rPr>
      </w:pPr>
      <w:r>
        <w:rPr>
          <w:lang w:val="en-US"/>
        </w:rPr>
        <w:t>R45 = 30-19-10 = 1</w:t>
      </w:r>
    </w:p>
    <w:p>
      <w:pPr>
        <w:pStyle w:val="Normal"/>
        <w:rPr>
          <w:lang w:val="en-US"/>
        </w:rPr>
      </w:pPr>
      <w:r>
        <w:rPr>
          <w:lang w:val="en-US"/>
        </w:rPr>
        <w:t>R56 = 36-30-6 = 0</w:t>
      </w:r>
    </w:p>
    <w:p>
      <w:pPr>
        <w:pStyle w:val="Normal"/>
        <w:rPr>
          <w:lang w:val="en-US"/>
        </w:rPr>
      </w:pPr>
      <w:r>
        <w:rPr>
          <w:lang w:val="en-US"/>
        </w:rPr>
      </w:r>
    </w:p>
    <w:p>
      <w:pPr>
        <w:pStyle w:val="Normal"/>
        <w:rPr>
          <w:b/>
          <w:b/>
        </w:rPr>
      </w:pPr>
      <w:r>
        <w:rPr>
          <w:b/>
        </w:rPr>
        <w:t>Ранни моменти Тр:</w:t>
      </w:r>
    </w:p>
    <w:p>
      <w:pPr>
        <w:pStyle w:val="Normal"/>
        <w:rPr/>
      </w:pPr>
      <w:r>
        <w:rPr/>
        <w:t>Т0 = 0</w:t>
      </w:r>
    </w:p>
    <w:p>
      <w:pPr>
        <w:pStyle w:val="Normal"/>
        <w:rPr/>
      </w:pPr>
      <w:r>
        <w:rPr/>
        <w:t xml:space="preserve">T1 = Т0 + Т(0,1) = </w:t>
      </w:r>
      <w:r>
        <w:rPr>
          <w:b/>
        </w:rPr>
        <w:t>12</w:t>
      </w:r>
    </w:p>
    <w:p>
      <w:pPr>
        <w:pStyle w:val="Normal"/>
        <w:rPr/>
      </w:pPr>
      <w:r>
        <w:rPr/>
        <w:t>Т2 = Т0 + Т(0,2) = 5</w:t>
      </w:r>
    </w:p>
    <w:p>
      <w:pPr>
        <w:pStyle w:val="Normal"/>
        <w:rPr/>
      </w:pPr>
      <w:r>
        <w:rPr/>
        <w:t xml:space="preserve">Т3= Т1 + Т(1,3) = </w:t>
      </w:r>
      <w:r>
        <w:rPr>
          <w:b/>
        </w:rPr>
        <w:t>20</w:t>
      </w:r>
    </w:p>
    <w:p>
      <w:pPr>
        <w:pStyle w:val="Normal"/>
        <w:rPr/>
      </w:pPr>
      <w:r>
        <w:rPr/>
        <w:t>Т4= Т1 + Т(1,4) =19</w:t>
      </w:r>
    </w:p>
    <w:p>
      <w:pPr>
        <w:pStyle w:val="Normal"/>
        <w:rPr/>
      </w:pPr>
      <w:r>
        <w:rPr/>
        <w:t>T4=T2 + T(2,4) = 11</w:t>
      </w:r>
    </w:p>
    <w:p>
      <w:pPr>
        <w:pStyle w:val="Normal"/>
        <w:rPr/>
      </w:pPr>
      <w:r>
        <w:rPr/>
        <w:t xml:space="preserve">Т5 = Т3 + Т(3,5) = </w:t>
      </w:r>
      <w:r>
        <w:rPr>
          <w:b/>
        </w:rPr>
        <w:t>30</w:t>
      </w:r>
    </w:p>
    <w:p>
      <w:pPr>
        <w:pStyle w:val="Normal"/>
        <w:rPr/>
      </w:pPr>
      <w:r>
        <w:rPr/>
        <w:t>Т5 = Т4 + Т(4,5) = 29</w:t>
      </w:r>
    </w:p>
    <w:p>
      <w:pPr>
        <w:pStyle w:val="Normal"/>
        <w:rPr>
          <w:b/>
          <w:b/>
        </w:rPr>
      </w:pPr>
      <w:r>
        <w:rPr/>
        <w:t xml:space="preserve">Т6 = Т5 + Т(5,6) = </w:t>
      </w:r>
      <w:r>
        <w:rPr>
          <w:b/>
        </w:rPr>
        <w:t>36</w:t>
      </w:r>
    </w:p>
    <w:p>
      <w:pPr>
        <w:pStyle w:val="Normal"/>
        <w:rPr>
          <w:b/>
          <w:b/>
        </w:rPr>
      </w:pPr>
      <w:r>
        <w:rPr>
          <w:b/>
        </w:rPr>
      </w:r>
    </w:p>
    <w:p>
      <w:pPr>
        <w:pStyle w:val="Normal"/>
        <w:rPr>
          <w:b/>
          <w:b/>
        </w:rPr>
      </w:pPr>
      <w:r>
        <w:rPr>
          <w:b/>
        </w:rPr>
        <w:t>Късни моменти Тк:</w:t>
      </w:r>
    </w:p>
    <w:p>
      <w:pPr>
        <w:pStyle w:val="Normal"/>
        <w:rPr/>
      </w:pPr>
      <w:r>
        <w:rPr/>
        <w:t xml:space="preserve">Т6 = </w:t>
      </w:r>
      <w:r>
        <w:rPr>
          <w:b/>
        </w:rPr>
        <w:t>36</w:t>
      </w:r>
    </w:p>
    <w:p>
      <w:pPr>
        <w:pStyle w:val="Normal"/>
        <w:rPr/>
      </w:pPr>
      <w:r>
        <w:rPr/>
        <w:t>Т5 = Т6 – Т(5,6) =</w:t>
      </w:r>
      <w:r>
        <w:rPr>
          <w:b/>
        </w:rPr>
        <w:t>30</w:t>
      </w:r>
    </w:p>
    <w:p>
      <w:pPr>
        <w:pStyle w:val="Normal"/>
        <w:rPr/>
      </w:pPr>
      <w:r>
        <w:rPr/>
        <w:t>Т4 = Т5 – Т(4,5) = 20</w:t>
      </w:r>
    </w:p>
    <w:p>
      <w:pPr>
        <w:pStyle w:val="Normal"/>
        <w:rPr>
          <w:b/>
          <w:b/>
        </w:rPr>
      </w:pPr>
      <w:r>
        <w:rPr/>
        <w:t xml:space="preserve">Т3 = Т5 – Т(3,5) = </w:t>
      </w:r>
      <w:r>
        <w:rPr>
          <w:b/>
        </w:rPr>
        <w:t>20</w:t>
      </w:r>
    </w:p>
    <w:p>
      <w:pPr>
        <w:pStyle w:val="Normal"/>
        <w:rPr/>
      </w:pPr>
      <w:r>
        <w:rPr/>
        <w:t>Т2 = Т4 – Т(2,4) = 14</w:t>
      </w:r>
    </w:p>
    <w:p>
      <w:pPr>
        <w:pStyle w:val="Normal"/>
        <w:rPr/>
      </w:pPr>
      <w:r>
        <w:rPr/>
        <w:t xml:space="preserve">Т1 = Т3 – Т(1,3) = </w:t>
      </w:r>
      <w:r>
        <w:rPr>
          <w:b/>
        </w:rPr>
        <w:t>12</w:t>
      </w:r>
    </w:p>
    <w:p>
      <w:pPr>
        <w:pStyle w:val="Normal"/>
        <w:rPr/>
      </w:pPr>
      <w:r>
        <w:rPr/>
        <w:t>Т1 = Т4 – Т(1,4) = 13</w:t>
      </w:r>
    </w:p>
    <w:p>
      <w:pPr>
        <w:pStyle w:val="Normal"/>
        <w:rPr/>
      </w:pPr>
      <w:r>
        <w:rPr/>
        <w:t xml:space="preserve">Т0 = Т1 – Т(0,1) = </w:t>
      </w:r>
      <w:r>
        <w:rPr>
          <w:b/>
        </w:rPr>
        <w:t>0</w:t>
      </w:r>
    </w:p>
    <w:p>
      <w:pPr>
        <w:pStyle w:val="Normal"/>
        <w:rPr/>
      </w:pPr>
      <w:r>
        <w:rPr/>
        <w:t>Т0 = Т2 – Т(0,2) = 9</w:t>
      </w:r>
    </w:p>
    <w:p>
      <w:pPr>
        <w:pStyle w:val="Normal"/>
        <w:rPr/>
      </w:pPr>
      <w:r>
        <w:rPr/>
      </w:r>
    </w:p>
    <w:p>
      <w:pPr>
        <w:pStyle w:val="Heading1"/>
        <w:rPr>
          <w:rFonts w:ascii="Times New Roman" w:hAnsi="Times New Roman" w:eastAsia="Calibri" w:cs="Times New Roman"/>
          <w:b w:val="false"/>
          <w:b w:val="false"/>
          <w:i/>
          <w:i/>
          <w:color w:val="000000"/>
          <w:sz w:val="40"/>
          <w:szCs w:val="40"/>
          <w:lang w:val="en-US"/>
        </w:rPr>
      </w:pPr>
      <w:r>
        <w:rPr>
          <w:rFonts w:eastAsia="Calibri" w:cs="Times New Roman" w:ascii="Times New Roman" w:hAnsi="Times New Roman"/>
          <w:b w:val="false"/>
          <w:i/>
          <w:color w:val="000000"/>
          <w:sz w:val="40"/>
          <w:szCs w:val="40"/>
          <w:lang w:val="en-US"/>
        </w:rPr>
      </w:r>
    </w:p>
    <w:p>
      <w:pPr>
        <w:pStyle w:val="Heading1"/>
        <w:rPr/>
      </w:pPr>
      <w:r>
        <w:rPr>
          <w:rFonts w:eastAsia="Calibri" w:cs="Times New Roman" w:ascii="Times New Roman" w:hAnsi="Times New Roman"/>
          <w:b w:val="false"/>
          <w:i/>
          <w:color w:val="000000"/>
          <w:sz w:val="40"/>
          <w:szCs w:val="40"/>
        </w:rPr>
        <w:t>Списък с използваните информационни източници</w:t>
      </w:r>
      <w:r>
        <w:rPr>
          <w:rStyle w:val="StrongEmphasis"/>
          <w:rFonts w:cs="Times New Roman" w:ascii="Times New Roman" w:hAnsi="Times New Roman"/>
          <w:b w:val="false"/>
          <w:i/>
          <w:color w:val="000000"/>
          <w:sz w:val="40"/>
          <w:szCs w:val="40"/>
        </w:rPr>
        <w:t>:</w:t>
      </w:r>
      <w:bookmarkEnd w:id="13"/>
    </w:p>
    <w:p>
      <w:pPr>
        <w:pStyle w:val="Normal"/>
        <w:rPr>
          <w:rStyle w:val="StrongEmphasis"/>
          <w:rFonts w:ascii="Times New Roman" w:hAnsi="Times New Roman" w:cs="Times New Roman"/>
          <w:b/>
          <w:b/>
          <w:i/>
          <w:i/>
          <w:color w:val="000000"/>
          <w:sz w:val="40"/>
          <w:szCs w:val="40"/>
        </w:rPr>
      </w:pPr>
      <w:r>
        <w:rPr/>
      </w:r>
    </w:p>
    <w:p>
      <w:pPr>
        <w:pStyle w:val="Normal"/>
        <w:numPr>
          <w:ilvl w:val="0"/>
          <w:numId w:val="6"/>
        </w:numPr>
        <w:spacing w:lineRule="auto" w:line="360"/>
        <w:ind w:left="426" w:hanging="426"/>
        <w:rPr/>
      </w:pPr>
      <w:r>
        <w:rPr/>
        <w:t xml:space="preserve">Официален сайт на община Бургас - </w:t>
      </w:r>
      <w:hyperlink r:id="rId18">
        <w:r>
          <w:rPr>
            <w:rStyle w:val="InternetLink"/>
          </w:rPr>
          <w:t>http://www.burgas.bg/</w:t>
        </w:r>
      </w:hyperlink>
      <w:r>
        <w:rPr/>
        <w:t xml:space="preserve"> </w:t>
      </w:r>
    </w:p>
    <w:p>
      <w:pPr>
        <w:pStyle w:val="Normal"/>
        <w:numPr>
          <w:ilvl w:val="0"/>
          <w:numId w:val="6"/>
        </w:numPr>
        <w:spacing w:lineRule="auto" w:line="360"/>
        <w:ind w:left="426" w:hanging="426"/>
        <w:rPr/>
      </w:pPr>
      <w:r>
        <w:rPr/>
        <w:t xml:space="preserve">Интегриран градски транспорт за Бургас - </w:t>
      </w:r>
      <w:hyperlink r:id="rId19">
        <w:r>
          <w:rPr>
            <w:rStyle w:val="InternetLink"/>
          </w:rPr>
          <w:t>http://www.burgas.bg/uploads/ddb6783c59510209baee0f6b65649a0a.pdf</w:t>
        </w:r>
      </w:hyperlink>
    </w:p>
    <w:p>
      <w:pPr>
        <w:pStyle w:val="Normal"/>
        <w:numPr>
          <w:ilvl w:val="0"/>
          <w:numId w:val="6"/>
        </w:numPr>
        <w:spacing w:lineRule="auto" w:line="360"/>
        <w:ind w:left="426" w:hanging="426"/>
        <w:rPr/>
      </w:pPr>
      <w:r>
        <w:rPr/>
        <w:t xml:space="preserve">Резюме за проект „Интегриран градски транспорт за Бургас” - </w:t>
      </w:r>
      <w:hyperlink r:id="rId20">
        <w:r>
          <w:rPr>
            <w:rStyle w:val="InternetLink"/>
          </w:rPr>
          <w:t>http://www.burgas.bg/uploads/1dbc4a19b74355495894ebd0f6532eea.pdf</w:t>
        </w:r>
      </w:hyperlink>
    </w:p>
    <w:p>
      <w:pPr>
        <w:pStyle w:val="Normal"/>
        <w:rPr/>
      </w:pPr>
      <w:r>
        <w:rPr/>
      </w:r>
    </w:p>
    <w:sectPr>
      <w:type w:val="continuous"/>
      <w:pgSz w:w="11906" w:h="16838"/>
      <w:pgMar w:left="1417" w:right="1417" w:header="0" w:top="1417" w:footer="708" w:bottom="1417" w:gutter="0"/>
      <w:cols w:num="2" w:space="2836" w:equalWidth="true" w:sep="false"/>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ambria">
    <w:charset w:val="cc"/>
    <w:family w:val="roman"/>
    <w:pitch w:val="variable"/>
  </w:font>
  <w:font w:name="Wingdings">
    <w:charset w:val="02"/>
    <w:family w:val="auto"/>
    <w:pitch w:val="variable"/>
  </w:font>
  <w:font w:name="Courier New">
    <w:charset w:val="cc"/>
    <w:family w:val="modern"/>
    <w:pitch w:val="default"/>
  </w:font>
  <w:font w:name="Tahoma">
    <w:charset w:val="cc"/>
    <w:family w:val="swiss"/>
    <w:pitch w:val="variable"/>
  </w:font>
  <w:font w:name="Liberation Sans">
    <w:altName w:val="Arial"/>
    <w:charset w:val="01"/>
    <w:family w:val="swiss"/>
    <w:pitch w:val="variable"/>
  </w:font>
  <w:font w:name="Calibri">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fldChar w:fldCharType="begin"/>
    </w:r>
    <w:r>
      <w:rPr/>
      <w:instrText> PAGE </w:instrText>
    </w:r>
    <w:r>
      <w:rPr/>
      <w:fldChar w:fldCharType="separate"/>
    </w:r>
    <w:r>
      <w:rPr/>
      <w:t>1</w:t>
    </w:r>
    <w:r>
      <w:rPr/>
      <w:fldChar w:fldCharType="end"/>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pStyle w:val="Heading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20" w:hanging="360"/>
      </w:pPr>
      <w:rPr/>
    </w:lvl>
  </w:abstractNum>
  <w:abstractNum w:abstractNumId="3">
    <w:lvl w:ilvl="0">
      <w:start w:val="3"/>
      <w:numFmt w:val="bullet"/>
      <w:lvlText w:val="-"/>
      <w:lvlJc w:val="left"/>
      <w:pPr>
        <w:ind w:left="389" w:hanging="360"/>
      </w:pPr>
      <w:rPr>
        <w:rFonts w:ascii="Times New Roman" w:hAnsi="Times New Roman" w:cs="Times New Roman" w:hint="default"/>
        <w:rFonts w:cs="Times New Roman"/>
      </w:rPr>
    </w:lvl>
  </w:abstractNum>
  <w:abstractNum w:abstractNumId="4">
    <w:lvl w:ilvl="0">
      <w:start w:val="1"/>
      <w:numFmt w:val="bullet"/>
      <w:lvlText w:val=""/>
      <w:lvlJc w:val="left"/>
      <w:pPr>
        <w:ind w:left="720" w:hanging="360"/>
      </w:pPr>
      <w:rPr>
        <w:rFonts w:ascii="Symbol" w:hAnsi="Symbol" w:cs="Symbol" w:hint="default"/>
        <w:rFonts w:cs="Symbol"/>
      </w:rPr>
    </w:lvl>
  </w:abstractNum>
  <w:abstractNum w:abstractNumId="5">
    <w:lvl w:ilvl="0">
      <w:start w:val="1"/>
      <w:numFmt w:val="bullet"/>
      <w:lvlText w:val=""/>
      <w:lvlJc w:val="left"/>
      <w:pPr>
        <w:ind w:left="720" w:hanging="360"/>
      </w:pPr>
      <w:rPr>
        <w:rFonts w:ascii="Wingdings" w:hAnsi="Wingdings" w:cs="Wingdings" w:hint="default"/>
        <w:kern w:val="0"/>
        <w:rFonts w:cs="Wingdings"/>
        <w:color w:val="000000"/>
        <w:lang w:eastAsia="bg-BG"/>
      </w:rPr>
    </w:lvl>
  </w:abstractNum>
  <w:abstractNum w:abstractNumId="6">
    <w:lvl w:ilvl="0">
      <w:start w:val="1"/>
      <w:numFmt w:val="decimal"/>
      <w:lvlText w:val="%1)"/>
      <w:lvlJc w:val="left"/>
      <w:pPr>
        <w:ind w:left="72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30"/>
  <w:defaultTabStop w:val="709"/>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Cs w:val="24"/>
        <w:lang w:val="en-US" w:eastAsia="zh-CN" w:bidi="hi-IN"/>
      </w:rPr>
    </w:rPrDefault>
    <w:pPrDefault>
      <w:pPr/>
    </w:pPrDefault>
  </w:docDefaults>
  <w:style w:type="paragraph" w:styleId="Normal">
    <w:name w:val="Normal"/>
    <w:qFormat/>
    <w:pPr>
      <w:widowControl/>
      <w:suppressAutoHyphens w:val="true"/>
      <w:bidi w:val="0"/>
      <w:spacing w:lineRule="atLeast" w:line="100"/>
    </w:pPr>
    <w:rPr>
      <w:rFonts w:ascii="Times New Roman" w:hAnsi="Times New Roman" w:eastAsia="Arial" w:cs="Times New Roman"/>
      <w:color w:val="000000"/>
      <w:kern w:val="2"/>
      <w:sz w:val="24"/>
      <w:szCs w:val="24"/>
      <w:lang w:val="bg-BG" w:bidi="ar-SA" w:eastAsia="zh-CN"/>
    </w:rPr>
  </w:style>
  <w:style w:type="paragraph" w:styleId="Heading1">
    <w:name w:val="Heading 1"/>
    <w:basedOn w:val="Normal"/>
    <w:next w:val="Normal"/>
    <w:qFormat/>
    <w:pPr>
      <w:keepNext w:val="true"/>
      <w:keepLines/>
      <w:numPr>
        <w:ilvl w:val="0"/>
        <w:numId w:val="1"/>
      </w:numPr>
      <w:spacing w:before="480" w:after="0"/>
      <w:outlineLvl w:val="0"/>
    </w:pPr>
    <w:rPr>
      <w:rFonts w:ascii="Cambria" w:hAnsi="Cambria" w:eastAsia="Times New Roman" w:cs="Times New Roman"/>
      <w:b/>
      <w:bCs/>
      <w:color w:val="365F91"/>
      <w:sz w:val="28"/>
      <w:szCs w:val="28"/>
    </w:rPr>
  </w:style>
  <w:style w:type="paragraph" w:styleId="Heading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Wingdings" w:hAnsi="Wingdings" w:cs="Wingdings"/>
    </w:rPr>
  </w:style>
  <w:style w:type="character" w:styleId="WW8Num3z1">
    <w:name w:val="WW8Num3z1"/>
    <w:qFormat/>
    <w:rPr>
      <w:rFonts w:ascii="Courier New" w:hAnsi="Courier New" w:cs="Courier New"/>
    </w:rPr>
  </w:style>
  <w:style w:type="character" w:styleId="WW8Num3z3">
    <w:name w:val="WW8Num3z3"/>
    <w:qFormat/>
    <w:rPr>
      <w:rFonts w:ascii="Symbol" w:hAnsi="Symbol" w:cs="Symbol"/>
    </w:rPr>
  </w:style>
  <w:style w:type="character" w:styleId="WW8Num4z0">
    <w:name w:val="WW8Num4z0"/>
    <w:qFormat/>
    <w:rPr>
      <w:rFonts w:ascii="Symbol" w:hAnsi="Symbol" w:cs="Symbol"/>
      <w:sz w:val="20"/>
    </w:rPr>
  </w:style>
  <w:style w:type="character" w:styleId="WW8Num4z1">
    <w:name w:val="WW8Num4z1"/>
    <w:qFormat/>
    <w:rPr>
      <w:rFonts w:ascii="Courier New" w:hAnsi="Courier New" w:cs="Courier New"/>
      <w:sz w:val="20"/>
    </w:rPr>
  </w:style>
  <w:style w:type="character" w:styleId="WW8Num4z2">
    <w:name w:val="WW8Num4z2"/>
    <w:qFormat/>
    <w:rPr>
      <w:rFonts w:ascii="Wingdings" w:hAnsi="Wingdings" w:cs="Wingdings"/>
      <w:sz w:val="20"/>
    </w:rPr>
  </w:style>
  <w:style w:type="character" w:styleId="WW8Num5z0">
    <w:name w:val="WW8Num5z0"/>
    <w:qFormat/>
    <w:rPr>
      <w:rFonts w:ascii="Times New Roman" w:hAnsi="Times New Roman" w:eastAsia="Arial"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Wingdings" w:hAnsi="Wingdings" w:cs="Wingdings"/>
    </w:rPr>
  </w:style>
  <w:style w:type="character" w:styleId="WW8Num6z1">
    <w:name w:val="WW8Num6z1"/>
    <w:qFormat/>
    <w:rPr>
      <w:rFonts w:ascii="Courier New" w:hAnsi="Courier New" w:cs="Courier New"/>
    </w:rPr>
  </w:style>
  <w:style w:type="character" w:styleId="WW8Num6z3">
    <w:name w:val="WW8Num6z3"/>
    <w:qFormat/>
    <w:rPr>
      <w:rFonts w:ascii="Symbol" w:hAnsi="Symbol" w:cs="Symbol"/>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Times New Roman" w:hAnsi="Times New Roman" w:eastAsia="Arial"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rFonts w:ascii="Wingdings" w:hAnsi="Wingdings" w:eastAsia="Arial-BoldMT;MS Mincho" w:cs="Wingdings"/>
      <w:color w:val="000000"/>
      <w:kern w:val="0"/>
      <w:lang w:eastAsia="bg-BG"/>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Times New Roman" w:hAnsi="Times New Roman" w:eastAsia="Arial" w:cs="Times New Roman"/>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DefaultParagraphFont">
    <w:name w:val="Default Paragraph Font"/>
    <w:qFormat/>
    <w:rPr/>
  </w:style>
  <w:style w:type="character" w:styleId="DocumentMapChar">
    <w:name w:val="Document Map Char"/>
    <w:basedOn w:val="DefaultParagraphFont"/>
    <w:qFormat/>
    <w:rPr>
      <w:rFonts w:ascii="Tahoma" w:hAnsi="Tahoma" w:eastAsia="Arial" w:cs="Tahoma"/>
      <w:color w:val="000000"/>
      <w:kern w:val="2"/>
      <w:sz w:val="16"/>
      <w:szCs w:val="16"/>
    </w:rPr>
  </w:style>
  <w:style w:type="character" w:styleId="Heading1Char">
    <w:name w:val="Heading 1 Char"/>
    <w:basedOn w:val="DefaultParagraphFont"/>
    <w:qFormat/>
    <w:rPr>
      <w:rFonts w:ascii="Cambria" w:hAnsi="Cambria" w:eastAsia="Times New Roman" w:cs="Times New Roman"/>
      <w:b/>
      <w:bCs/>
      <w:color w:val="365F91"/>
      <w:kern w:val="2"/>
      <w:sz w:val="28"/>
      <w:szCs w:val="28"/>
    </w:rPr>
  </w:style>
  <w:style w:type="character" w:styleId="BalloonTextChar">
    <w:name w:val="Balloon Text Char"/>
    <w:basedOn w:val="DefaultParagraphFont"/>
    <w:qFormat/>
    <w:rPr>
      <w:rFonts w:ascii="Tahoma" w:hAnsi="Tahoma" w:eastAsia="Arial" w:cs="Tahoma"/>
      <w:color w:val="000000"/>
      <w:kern w:val="2"/>
      <w:sz w:val="16"/>
      <w:szCs w:val="16"/>
    </w:rPr>
  </w:style>
  <w:style w:type="character" w:styleId="HeaderChar">
    <w:name w:val="Header Char"/>
    <w:basedOn w:val="DefaultParagraphFont"/>
    <w:qFormat/>
    <w:rPr>
      <w:rFonts w:ascii="Times New Roman" w:hAnsi="Times New Roman" w:eastAsia="Arial" w:cs="Times New Roman"/>
      <w:color w:val="000000"/>
      <w:kern w:val="2"/>
      <w:sz w:val="24"/>
      <w:szCs w:val="24"/>
    </w:rPr>
  </w:style>
  <w:style w:type="character" w:styleId="FooterChar">
    <w:name w:val="Footer Char"/>
    <w:basedOn w:val="DefaultParagraphFont"/>
    <w:qFormat/>
    <w:rPr>
      <w:rFonts w:ascii="Times New Roman" w:hAnsi="Times New Roman" w:eastAsia="Arial" w:cs="Times New Roman"/>
      <w:color w:val="000000"/>
      <w:kern w:val="2"/>
      <w:sz w:val="24"/>
      <w:szCs w:val="24"/>
    </w:rPr>
  </w:style>
  <w:style w:type="character" w:styleId="FootnoteTextChar">
    <w:name w:val="Footnote Text Char"/>
    <w:basedOn w:val="DefaultParagraphFont"/>
    <w:qFormat/>
    <w:rPr/>
  </w:style>
  <w:style w:type="character" w:styleId="FootnoteCharacters">
    <w:name w:val="Footnote Characters"/>
    <w:basedOn w:val="DefaultParagraphFont"/>
    <w:qFormat/>
    <w:rPr>
      <w:vertAlign w:val="superscript"/>
    </w:rPr>
  </w:style>
  <w:style w:type="character" w:styleId="StrongEmphasis">
    <w:name w:val="Strong Emphasis"/>
    <w:basedOn w:val="DefaultParagraphFont"/>
    <w:qFormat/>
    <w:rPr>
      <w:b/>
      <w:bCs/>
    </w:rPr>
  </w:style>
  <w:style w:type="character" w:styleId="InternetLink">
    <w:name w:val="Internet Link"/>
    <w:basedOn w:val="DefaultParagraphFont"/>
    <w:rPr>
      <w:color w:val="0000FF"/>
      <w:u w:val="single"/>
    </w:rPr>
  </w:style>
  <w:style w:type="character" w:styleId="Hps">
    <w:name w:val="hps"/>
    <w:basedOn w:val="DefaultParagraphFont"/>
    <w:qFormat/>
    <w:rPr/>
  </w:style>
  <w:style w:type="character" w:styleId="Heading2Char">
    <w:name w:val="Heading 2 Char"/>
    <w:basedOn w:val="DefaultParagraphFont"/>
    <w:qFormat/>
    <w:rPr>
      <w:rFonts w:ascii="Cambria" w:hAnsi="Cambria" w:eastAsia="Times New Roman" w:cs="Times New Roman"/>
      <w:b/>
      <w:bCs/>
      <w:i/>
      <w:iCs/>
      <w:color w:val="000000"/>
      <w:kern w:val="2"/>
      <w:sz w:val="28"/>
      <w:szCs w:val="28"/>
    </w:rPr>
  </w:style>
  <w:style w:type="character" w:styleId="VisitedInternetLink">
    <w:name w:val="Visited Internet Link"/>
    <w:basedOn w:val="DefaultParagraphFont"/>
    <w:rPr>
      <w:color w:val="800080"/>
      <w:u w:val="single"/>
    </w:rPr>
  </w:style>
  <w:style w:type="character" w:styleId="IndexLink">
    <w:name w:val="Index Link"/>
    <w:qFormat/>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val="false"/>
      <w:suppressAutoHyphens w:val="true"/>
      <w:spacing w:lineRule="auto" w:line="276" w:before="0" w:after="200"/>
    </w:pPr>
    <w:rPr>
      <w:rFonts w:ascii="Calibri" w:hAnsi="Calibri" w:eastAsia="Arial" w:cs=";Times New Roman"/>
      <w:color w:val="auto"/>
      <w:kern w:val="2"/>
      <w:sz w:val="22"/>
      <w:szCs w:val="22"/>
      <w:lang w:val="bg-BG" w:bidi="ar-SA" w:eastAsia="zh-CN"/>
    </w:rPr>
  </w:style>
  <w:style w:type="paragraph" w:styleId="DocumentMap">
    <w:name w:val="Document Map"/>
    <w:basedOn w:val="Normal"/>
    <w:qFormat/>
    <w:pPr>
      <w:spacing w:lineRule="auto" w:line="240"/>
    </w:pPr>
    <w:rPr>
      <w:rFonts w:ascii="Tahoma" w:hAnsi="Tahoma" w:cs="Tahoma"/>
      <w:sz w:val="16"/>
      <w:szCs w:val="16"/>
    </w:rPr>
  </w:style>
  <w:style w:type="paragraph" w:styleId="TOCHeading">
    <w:name w:val="TOC Heading"/>
    <w:basedOn w:val="Heading1"/>
    <w:next w:val="Normal"/>
    <w:qFormat/>
    <w:pPr>
      <w:numPr>
        <w:ilvl w:val="0"/>
        <w:numId w:val="0"/>
      </w:numPr>
      <w:suppressAutoHyphens w:val="false"/>
      <w:spacing w:lineRule="auto" w:line="276"/>
    </w:pPr>
    <w:rPr>
      <w:kern w:val="0"/>
      <w:lang w:val="en-US"/>
    </w:rPr>
  </w:style>
  <w:style w:type="paragraph" w:styleId="Contents2">
    <w:name w:val="TOC 2"/>
    <w:basedOn w:val="Normal"/>
    <w:next w:val="Normal"/>
    <w:pPr>
      <w:suppressAutoHyphens w:val="false"/>
      <w:spacing w:lineRule="auto" w:line="276" w:before="0" w:after="100"/>
      <w:ind w:left="220" w:hanging="0"/>
    </w:pPr>
    <w:rPr>
      <w:rFonts w:ascii="Calibri" w:hAnsi="Calibri" w:eastAsia="Times New Roman" w:cs="Times New Roman"/>
      <w:color w:val="000000"/>
      <w:kern w:val="0"/>
      <w:sz w:val="22"/>
      <w:szCs w:val="22"/>
      <w:lang w:val="en-US"/>
    </w:rPr>
  </w:style>
  <w:style w:type="paragraph" w:styleId="Contents1">
    <w:name w:val="TOC 1"/>
    <w:basedOn w:val="Normal"/>
    <w:next w:val="Normal"/>
    <w:pPr>
      <w:tabs>
        <w:tab w:val="clear" w:pos="708"/>
        <w:tab w:val="right" w:pos="10206" w:leader="dot"/>
      </w:tabs>
      <w:suppressAutoHyphens w:val="false"/>
      <w:spacing w:lineRule="auto" w:line="276" w:before="0" w:after="100"/>
      <w:ind w:right="425" w:hanging="0"/>
    </w:pPr>
    <w:rPr>
      <w:rFonts w:eastAsia="Times New Roman"/>
      <w:i/>
      <w:color w:val="000000"/>
      <w:kern w:val="0"/>
      <w:sz w:val="40"/>
      <w:szCs w:val="22"/>
      <w:lang w:val="en-US"/>
    </w:rPr>
  </w:style>
  <w:style w:type="paragraph" w:styleId="Contents3">
    <w:name w:val="TOC 3"/>
    <w:basedOn w:val="Normal"/>
    <w:next w:val="Normal"/>
    <w:pPr>
      <w:suppressAutoHyphens w:val="false"/>
      <w:spacing w:lineRule="auto" w:line="276" w:before="0" w:after="100"/>
      <w:ind w:left="440" w:hanging="0"/>
    </w:pPr>
    <w:rPr>
      <w:rFonts w:ascii="Calibri" w:hAnsi="Calibri" w:eastAsia="Times New Roman" w:cs="Times New Roman"/>
      <w:color w:val="000000"/>
      <w:kern w:val="0"/>
      <w:sz w:val="22"/>
      <w:szCs w:val="22"/>
      <w:lang w:val="en-US"/>
    </w:rPr>
  </w:style>
  <w:style w:type="paragraph" w:styleId="BalloonText">
    <w:name w:val="Balloon Text"/>
    <w:basedOn w:val="Normal"/>
    <w:qFormat/>
    <w:pPr>
      <w:spacing w:lineRule="auto" w:line="240"/>
    </w:pPr>
    <w:rPr>
      <w:rFonts w:ascii="Tahoma" w:hAnsi="Tahoma" w:cs="Tahoma"/>
      <w:sz w:val="16"/>
      <w:szCs w:val="16"/>
    </w:rPr>
  </w:style>
  <w:style w:type="paragraph" w:styleId="Header">
    <w:name w:val="Header"/>
    <w:basedOn w:val="Normal"/>
    <w:pPr>
      <w:tabs>
        <w:tab w:val="clear" w:pos="708"/>
        <w:tab w:val="center" w:pos="4536" w:leader="none"/>
        <w:tab w:val="right" w:pos="9072" w:leader="none"/>
      </w:tabs>
      <w:spacing w:lineRule="auto" w:line="240"/>
    </w:pPr>
    <w:rPr/>
  </w:style>
  <w:style w:type="paragraph" w:styleId="Footer">
    <w:name w:val="Footer"/>
    <w:basedOn w:val="Normal"/>
    <w:pPr>
      <w:tabs>
        <w:tab w:val="clear" w:pos="708"/>
        <w:tab w:val="center" w:pos="4536" w:leader="none"/>
        <w:tab w:val="right" w:pos="9072" w:leader="none"/>
      </w:tabs>
      <w:spacing w:lineRule="auto" w:line="240"/>
    </w:pPr>
    <w:rPr/>
  </w:style>
  <w:style w:type="paragraph" w:styleId="ListParagraph">
    <w:name w:val="List Paragraph"/>
    <w:basedOn w:val="Normal"/>
    <w:qFormat/>
    <w:pPr>
      <w:suppressAutoHyphens w:val="false"/>
      <w:spacing w:lineRule="auto" w:line="276" w:before="0" w:after="200"/>
      <w:ind w:left="720" w:hanging="0"/>
      <w:contextualSpacing/>
    </w:pPr>
    <w:rPr>
      <w:rFonts w:ascii="Calibri" w:hAnsi="Calibri" w:eastAsia="Calibri" w:cs="Calibri"/>
      <w:color w:val="000000"/>
      <w:kern w:val="0"/>
      <w:sz w:val="22"/>
      <w:szCs w:val="22"/>
    </w:rPr>
  </w:style>
  <w:style w:type="paragraph" w:styleId="NormalWeb">
    <w:name w:val="Normal (Web)"/>
    <w:basedOn w:val="Normal"/>
    <w:qFormat/>
    <w:pPr>
      <w:suppressAutoHyphens w:val="false"/>
      <w:spacing w:lineRule="auto" w:line="240" w:before="280" w:after="280"/>
    </w:pPr>
    <w:rPr>
      <w:rFonts w:eastAsia="Times New Roman"/>
      <w:color w:val="000000"/>
      <w:kern w:val="0"/>
    </w:rPr>
  </w:style>
  <w:style w:type="paragraph" w:styleId="Footnote">
    <w:name w:val="Footnote Text"/>
    <w:basedOn w:val="Normal"/>
    <w:pPr>
      <w:suppressAutoHyphens w:val="false"/>
      <w:spacing w:lineRule="auto" w:line="276" w:before="0" w:after="200"/>
    </w:pPr>
    <w:rPr>
      <w:rFonts w:ascii="Calibri" w:hAnsi="Calibri" w:eastAsia="Calibri" w:cs="Calibri"/>
      <w:color w:val="000000"/>
      <w:kern w:val="0"/>
      <w:sz w:val="20"/>
      <w:szCs w:val="20"/>
    </w:rPr>
  </w:style>
  <w:style w:type="paragraph" w:styleId="Char">
    <w:name w:val=" Char"/>
    <w:basedOn w:val="Normal"/>
    <w:qFormat/>
    <w:pPr>
      <w:tabs>
        <w:tab w:val="clear" w:pos="708"/>
        <w:tab w:val="left" w:pos="709" w:leader="none"/>
      </w:tabs>
      <w:suppressAutoHyphens w:val="false"/>
      <w:spacing w:lineRule="auto" w:line="240"/>
    </w:pPr>
    <w:rPr>
      <w:rFonts w:ascii="Tahoma" w:hAnsi="Tahoma" w:eastAsia="Times New Roman" w:cs="Tahoma"/>
      <w:color w:val="000000"/>
      <w:kern w:val="0"/>
      <w:lang w:val="pl-PL"/>
    </w:rPr>
  </w:style>
  <w:style w:type="paragraph" w:styleId="Body">
    <w:name w:val="Body"/>
    <w:basedOn w:val="Normal"/>
    <w:qFormat/>
    <w:pPr>
      <w:spacing w:lineRule="auto" w:line="240" w:before="60" w:after="60"/>
    </w:pPr>
    <w:rPr>
      <w:rFonts w:eastAsia="Times New Roman"/>
      <w:kern w:val="0"/>
      <w:szCs w:val="20"/>
    </w:rPr>
  </w:style>
  <w:style w:type="paragraph" w:styleId="Default">
    <w:name w:val="Default"/>
    <w:qFormat/>
    <w:pPr>
      <w:widowControl/>
      <w:autoSpaceDE w:val="false"/>
    </w:pPr>
    <w:rPr>
      <w:rFonts w:ascii="Times New Roman" w:hAnsi="Times New Roman" w:eastAsia="Calibri" w:cs="Times New Roman"/>
      <w:color w:val="000000"/>
      <w:sz w:val="24"/>
      <w:szCs w:val="24"/>
      <w:lang w:val="bg-BG" w:bidi="ar-SA" w:eastAsia="zh-CN"/>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2" Target="media/image1.jpeg" Type="http://schemas.openxmlformats.org/officeDocument/2006/relationships/image"/><Relationship Id="rId3" Target="footer1.xml" Type="http://schemas.openxmlformats.org/officeDocument/2006/relationships/footer"/><Relationship Id="rId4" Target="footer2.xml" Type="http://schemas.openxmlformats.org/officeDocument/2006/relationships/footer"/><Relationship Id="rId5" Target="media/image2.png" Type="http://schemas.openxmlformats.org/officeDocument/2006/relationships/image"/><Relationship Id="rId6" Target="media/image3.png" Type="http://schemas.openxmlformats.org/officeDocument/2006/relationships/image"/><Relationship Id="rId7" Target="media/image4.png" Type="http://schemas.openxmlformats.org/officeDocument/2006/relationships/image"/><Relationship Id="rId8" Target="media/image5.png" Type="http://schemas.openxmlformats.org/officeDocument/2006/relationships/image"/><Relationship Id="rId9" Target="media/image6.png" Type="http://schemas.openxmlformats.org/officeDocument/2006/relationships/image"/><Relationship Id="rId10" Target="media/image7.png" Type="http://schemas.openxmlformats.org/officeDocument/2006/relationships/image"/><Relationship Id="rId11" Target="media/image8.png" Type="http://schemas.openxmlformats.org/officeDocument/2006/relationships/image"/><Relationship Id="rId12" Target="media/image9.png" Type="http://schemas.openxmlformats.org/officeDocument/2006/relationships/image"/><Relationship Id="rId13" Target="media/image10.png" Type="http://schemas.openxmlformats.org/officeDocument/2006/relationships/image"/><Relationship Id="rId14" Target="media/image11.jpeg" Type="http://schemas.openxmlformats.org/officeDocument/2006/relationships/image"/><Relationship Id="rId15" Target="media/image12.jpeg" Type="http://schemas.openxmlformats.org/officeDocument/2006/relationships/image"/><Relationship Id="rId16" Target="media/image13.jpeg" Type="http://schemas.openxmlformats.org/officeDocument/2006/relationships/image"/><Relationship Id="rId17" Target="media/image14.jpeg" Type="http://schemas.openxmlformats.org/officeDocument/2006/relationships/image"/><Relationship Id="rId18" Target="http://www.burgas.bg/" TargetMode="External" Type="http://schemas.openxmlformats.org/officeDocument/2006/relationships/hyperlink"/><Relationship Id="rId19" Target="http://www.burgas.bg/uploads/ddb6783c59510209baee0f6b65649a0a.pdf" TargetMode="External" Type="http://schemas.openxmlformats.org/officeDocument/2006/relationships/hyperlink"/><Relationship Id="rId20" Target="http://www.burgas.bg/uploads/1dbc4a19b74355495894ebd0f6532eea.pdf" TargetMode="External" Type="http://schemas.openxmlformats.org/officeDocument/2006/relationships/hyperlink"/><Relationship Id="rId21" Target="numbering.xml" Type="http://schemas.openxmlformats.org/officeDocument/2006/relationships/numbering"/><Relationship Id="rId22" Target="fontTable.xml" Type="http://schemas.openxmlformats.org/officeDocument/2006/relationships/fontTable"/><Relationship Id="rId23" Target="settings.xml" Type="http://schemas.openxmlformats.org/officeDocument/2006/relationships/settings"/>
</Relationships>
</file>

<file path=docProps/app.xml><?xml version="1.0" encoding="utf-8"?>
<Properties xmlns="http://schemas.openxmlformats.org/officeDocument/2006/extended-properties" xmlns:vt="http://schemas.openxmlformats.org/officeDocument/2006/docPropsVTypes">
  <Template>Normal_x0000_</Template>
  <TotalTime>1391</TotalTime>
  <Application>LibreOffice/6.2.4.2.0$Linux_X86_64 LibreOffice_project/20$Build-2</Application>
  <Pages>29</Pages>
  <Words>5858</Words>
  <Characters>33296</Characters>
  <CharactersWithSpaces>39006</CharactersWithSpaces>
  <Paragraphs>440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2013-01-21T21:18:00Z</dcterms:created>
  <dc:creator>Михаил</dc:creator>
  <dc:description/>
  <cp:keywords/>
  <dc:language>en-US</dc:language>
  <cp:lastModifiedBy>sdaf</cp:lastModifiedBy>
  <dcterms:modified xsi:type="dcterms:W3CDTF">2013-01-23T20:58:00Z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872484</vt:lpwstr>
  </property>
  <property fmtid="{D5CDD505-2E9C-101B-9397-08002B2CF9AE}" name="NXPowerLiteSettings" pid="3">
    <vt:lpwstr>F7000400038000</vt:lpwstr>
  </property>
  <property fmtid="{D5CDD505-2E9C-101B-9397-08002B2CF9AE}" name="NXPowerLiteVersion" pid="4">
    <vt:lpwstr>D6.2.10</vt:lpwstr>
  </property>
</Properties>
</file>